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494913446"/>
        <w:docPartObj>
          <w:docPartGallery w:val="Cover Pages"/>
          <w:docPartUnique/>
        </w:docPartObj>
      </w:sdtPr>
      <w:sdtEndPr>
        <w:rPr>
          <w:rFonts w:eastAsiaTheme="minorEastAsia"/>
          <w:b/>
          <w:sz w:val="32"/>
          <w:lang w:val="en-US" w:eastAsia="ja-JP"/>
        </w:rPr>
      </w:sdtEndPr>
      <w:sdtContent>
        <w:p w14:paraId="2C737B42" w14:textId="77777777" w:rsidR="00DA11B9" w:rsidRPr="00741FFE" w:rsidRDefault="00DA11B9" w:rsidP="00DA11B9">
          <w:pPr>
            <w:jc w:val="center"/>
            <w:rPr>
              <w:rFonts w:cs="Arial"/>
            </w:rPr>
          </w:pPr>
        </w:p>
        <w:p w14:paraId="654C5EA7" w14:textId="77777777" w:rsidR="00DA11B9" w:rsidRDefault="00DA11B9" w:rsidP="00DA11B9">
          <w:pPr>
            <w:jc w:val="center"/>
            <w:rPr>
              <w:rFonts w:cs="Arial"/>
              <w:i/>
            </w:rPr>
          </w:pPr>
          <w:r w:rsidRPr="00741FFE">
            <w:rPr>
              <w:rFonts w:cs="Arial"/>
              <w:i/>
            </w:rPr>
            <w:t xml:space="preserve">‘Corpus Christi Catholic Primary School is committed to safeguarding </w:t>
          </w:r>
        </w:p>
        <w:p w14:paraId="3DD8180A" w14:textId="77777777" w:rsidR="00DA11B9" w:rsidRDefault="00DA11B9" w:rsidP="00DA11B9">
          <w:pPr>
            <w:jc w:val="center"/>
            <w:rPr>
              <w:rFonts w:cs="Arial"/>
              <w:i/>
            </w:rPr>
          </w:pPr>
          <w:r w:rsidRPr="00741FFE">
            <w:rPr>
              <w:rFonts w:cs="Arial"/>
              <w:i/>
            </w:rPr>
            <w:t xml:space="preserve">and promoting the welfare of children and young people and expects </w:t>
          </w:r>
        </w:p>
        <w:p w14:paraId="261F1CA3" w14:textId="77777777" w:rsidR="00DA11B9" w:rsidRPr="00DA11B9" w:rsidRDefault="00DA11B9" w:rsidP="00DA11B9">
          <w:pPr>
            <w:jc w:val="center"/>
            <w:rPr>
              <w:rFonts w:cs="Arial"/>
              <w:i/>
            </w:rPr>
          </w:pPr>
          <w:r w:rsidRPr="00741FFE">
            <w:rPr>
              <w:rFonts w:cs="Arial"/>
              <w:i/>
            </w:rPr>
            <w:t>all staff and volunteers to share this commitment.’</w:t>
          </w:r>
        </w:p>
      </w:sdtContent>
    </w:sdt>
    <w:bookmarkStart w:id="0" w:name="_Legal_framework" w:displacedByCustomXml="prev"/>
    <w:bookmarkEnd w:id="0" w:displacedByCustomXml="prev"/>
    <w:bookmarkStart w:id="1" w:name="_Legislative_framework" w:displacedByCustomXml="prev"/>
    <w:bookmarkEnd w:id="1" w:displacedByCustomXml="prev"/>
    <w:bookmarkStart w:id="2" w:name="_Section_1" w:displacedByCustomXml="prev"/>
    <w:bookmarkEnd w:id="2" w:displacedByCustomXml="prev"/>
    <w:bookmarkStart w:id="3" w:name="_Peafowl_and_the" w:displacedByCustomXml="prev"/>
    <w:bookmarkEnd w:id="3" w:displacedByCustomXml="prev"/>
    <w:p w14:paraId="129A6D5D" w14:textId="77777777" w:rsidR="00DA11B9" w:rsidRPr="00DA11B9" w:rsidRDefault="00DA11B9" w:rsidP="00DA11B9">
      <w:pPr>
        <w:rPr>
          <w:rFonts w:eastAsiaTheme="minorEastAsia"/>
          <w:b/>
          <w:sz w:val="32"/>
          <w:lang w:val="en-US" w:eastAsia="ja-JP"/>
        </w:rPr>
      </w:pPr>
      <w:r>
        <w:rPr>
          <w:rFonts w:eastAsiaTheme="minorEastAsia"/>
          <w:b/>
          <w:noProof/>
          <w:sz w:val="32"/>
          <w:lang w:eastAsia="en-GB"/>
        </w:rPr>
        <w:drawing>
          <wp:anchor distT="0" distB="0" distL="114300" distR="114300" simplePos="0" relativeHeight="251682304" behindDoc="0" locked="0" layoutInCell="1" allowOverlap="1" wp14:anchorId="25E0E570" wp14:editId="61589F71">
            <wp:simplePos x="0" y="0"/>
            <wp:positionH relativeFrom="margin">
              <wp:align>center</wp:align>
            </wp:positionH>
            <wp:positionV relativeFrom="paragraph">
              <wp:posOffset>259715</wp:posOffset>
            </wp:positionV>
            <wp:extent cx="1389380" cy="1398905"/>
            <wp:effectExtent l="0" t="0" r="1270" b="0"/>
            <wp:wrapSquare wrapText="bothSides"/>
            <wp:docPr id="224" name="Picture 224" descr="Corpus_Christi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us_Christi_logo[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9380" cy="1398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623B96" w14:textId="77777777" w:rsidR="00DA11B9" w:rsidRDefault="00DA11B9" w:rsidP="00A23725">
      <w:pPr>
        <w:jc w:val="center"/>
        <w:rPr>
          <w:rFonts w:eastAsiaTheme="majorEastAsia" w:cs="Arial"/>
          <w:b/>
          <w:color w:val="FFD006"/>
          <w:sz w:val="72"/>
          <w:szCs w:val="72"/>
          <w:u w:val="single" w:color="FFD006"/>
          <w:lang w:eastAsia="ja-JP"/>
        </w:rPr>
      </w:pPr>
    </w:p>
    <w:p w14:paraId="5894C92D" w14:textId="77777777" w:rsidR="00DA11B9" w:rsidRDefault="00DA11B9" w:rsidP="00A23725">
      <w:pPr>
        <w:jc w:val="center"/>
        <w:rPr>
          <w:rFonts w:eastAsiaTheme="majorEastAsia" w:cs="Arial"/>
          <w:b/>
          <w:color w:val="FFD006"/>
          <w:sz w:val="72"/>
          <w:szCs w:val="72"/>
          <w:u w:val="single" w:color="FFD006"/>
          <w:lang w:eastAsia="ja-JP"/>
        </w:rPr>
      </w:pPr>
    </w:p>
    <w:p w14:paraId="5EF69B76" w14:textId="77777777" w:rsidR="00317B73" w:rsidRDefault="00317B73" w:rsidP="00A23725">
      <w:pPr>
        <w:jc w:val="center"/>
        <w:rPr>
          <w:rFonts w:eastAsiaTheme="majorEastAsia" w:cs="Arial"/>
          <w:b/>
          <w:color w:val="FFD006"/>
          <w:sz w:val="72"/>
          <w:szCs w:val="72"/>
          <w:u w:val="single" w:color="FFD006"/>
          <w:lang w:eastAsia="ja-JP"/>
        </w:rPr>
      </w:pPr>
      <w:r>
        <w:rPr>
          <w:rFonts w:eastAsiaTheme="majorEastAsia" w:cs="Arial"/>
          <w:b/>
          <w:color w:val="FFD006"/>
          <w:sz w:val="72"/>
          <w:szCs w:val="72"/>
          <w:u w:val="single" w:color="FFD006"/>
          <w:lang w:eastAsia="ja-JP"/>
        </w:rPr>
        <w:t xml:space="preserve">Corpus Christi </w:t>
      </w:r>
    </w:p>
    <w:p w14:paraId="35B6EF16" w14:textId="77777777" w:rsidR="00A23725" w:rsidRDefault="00317B73" w:rsidP="00DA11B9">
      <w:pPr>
        <w:jc w:val="center"/>
        <w:rPr>
          <w:rFonts w:eastAsiaTheme="majorEastAsia" w:cs="Arial"/>
          <w:b/>
          <w:color w:val="FFD006"/>
          <w:sz w:val="72"/>
          <w:szCs w:val="72"/>
          <w:u w:val="single" w:color="FFD006"/>
          <w:lang w:eastAsia="ja-JP"/>
        </w:rPr>
      </w:pPr>
      <w:r>
        <w:rPr>
          <w:rFonts w:eastAsiaTheme="majorEastAsia" w:cs="Arial"/>
          <w:b/>
          <w:color w:val="FFD006"/>
          <w:sz w:val="72"/>
          <w:szCs w:val="72"/>
          <w:u w:val="single" w:color="FFD006"/>
          <w:lang w:eastAsia="ja-JP"/>
        </w:rPr>
        <w:t>Catholic Primary School</w:t>
      </w:r>
    </w:p>
    <w:p w14:paraId="45FEE413" w14:textId="77777777" w:rsidR="00DA11B9" w:rsidRDefault="00DA11B9" w:rsidP="00DA11B9">
      <w:pPr>
        <w:pStyle w:val="Default"/>
        <w:rPr>
          <w:lang w:eastAsia="ja-JP"/>
        </w:rPr>
      </w:pPr>
    </w:p>
    <w:p w14:paraId="5E8098DF" w14:textId="6F0F7092" w:rsidR="00DA11B9" w:rsidRDefault="00DA11B9" w:rsidP="00DA11B9">
      <w:pPr>
        <w:pStyle w:val="Default"/>
        <w:rPr>
          <w:lang w:eastAsia="ja-JP"/>
        </w:rPr>
      </w:pPr>
    </w:p>
    <w:p w14:paraId="3E5E749F" w14:textId="48ACBAAC" w:rsidR="008331DD" w:rsidRDefault="008331DD" w:rsidP="00DA11B9">
      <w:pPr>
        <w:pStyle w:val="Default"/>
        <w:rPr>
          <w:lang w:eastAsia="ja-JP"/>
        </w:rPr>
      </w:pPr>
    </w:p>
    <w:p w14:paraId="25823A31" w14:textId="77777777" w:rsidR="008331DD" w:rsidRPr="00DA11B9" w:rsidRDefault="008331DD" w:rsidP="00DA11B9">
      <w:pPr>
        <w:pStyle w:val="Default"/>
        <w:rPr>
          <w:lang w:eastAsia="ja-JP"/>
        </w:rPr>
      </w:pPr>
    </w:p>
    <w:p w14:paraId="06759967" w14:textId="38DA59CE" w:rsidR="00BF5C21" w:rsidRDefault="008331DD" w:rsidP="00DA11B9">
      <w:pPr>
        <w:jc w:val="center"/>
        <w:rPr>
          <w:rFonts w:eastAsiaTheme="majorEastAsia" w:cs="Arial"/>
          <w:color w:val="000000" w:themeColor="text1"/>
          <w:sz w:val="40"/>
          <w:szCs w:val="40"/>
          <w:lang w:val="en-US" w:eastAsia="ja-JP"/>
        </w:rPr>
      </w:pPr>
      <w:r>
        <w:rPr>
          <w:rFonts w:eastAsiaTheme="majorEastAsia" w:cs="Arial"/>
          <w:color w:val="000000" w:themeColor="text1"/>
          <w:sz w:val="48"/>
          <w:szCs w:val="48"/>
          <w:lang w:val="en-US" w:eastAsia="ja-JP"/>
        </w:rPr>
        <w:t>Accessibility Plan</w:t>
      </w:r>
    </w:p>
    <w:p w14:paraId="688AB798" w14:textId="77777777" w:rsidR="00DA11B9" w:rsidRDefault="00DA11B9" w:rsidP="00DA11B9">
      <w:pPr>
        <w:pStyle w:val="Default"/>
        <w:rPr>
          <w:lang w:val="en-US" w:eastAsia="ja-JP"/>
        </w:rPr>
      </w:pPr>
    </w:p>
    <w:p w14:paraId="65288772" w14:textId="77777777" w:rsidR="00864491" w:rsidRDefault="00864491" w:rsidP="00DA11B9">
      <w:pPr>
        <w:pStyle w:val="Default"/>
        <w:rPr>
          <w:lang w:val="en-US" w:eastAsia="ja-JP"/>
        </w:rPr>
      </w:pPr>
    </w:p>
    <w:p w14:paraId="5EE11E97" w14:textId="77777777" w:rsidR="00864491" w:rsidRDefault="00864491" w:rsidP="00DA11B9">
      <w:pPr>
        <w:pStyle w:val="Default"/>
        <w:rPr>
          <w:lang w:val="en-US" w:eastAsia="ja-JP"/>
        </w:rPr>
      </w:pPr>
    </w:p>
    <w:p w14:paraId="7D5F828F" w14:textId="77777777" w:rsidR="00DA11B9" w:rsidRDefault="00DA11B9" w:rsidP="00DA11B9">
      <w:pPr>
        <w:pStyle w:val="Default"/>
        <w:rPr>
          <w:lang w:val="en-US" w:eastAsia="ja-JP"/>
        </w:rPr>
      </w:pPr>
    </w:p>
    <w:p w14:paraId="5420A3E1" w14:textId="77777777" w:rsidR="00DA11B9" w:rsidRDefault="00DA11B9" w:rsidP="00DA11B9">
      <w:pPr>
        <w:pStyle w:val="Default"/>
        <w:rPr>
          <w:lang w:val="en-US" w:eastAsia="ja-JP"/>
        </w:rPr>
      </w:pPr>
    </w:p>
    <w:p w14:paraId="4B6A1454" w14:textId="0962ED6B" w:rsidR="003760DA" w:rsidRDefault="003760DA" w:rsidP="00DA11B9">
      <w:pPr>
        <w:pStyle w:val="Default"/>
        <w:rPr>
          <w:lang w:val="en-US" w:eastAsia="ja-JP"/>
        </w:rPr>
      </w:pPr>
    </w:p>
    <w:p w14:paraId="0E52D2BD" w14:textId="1838801B" w:rsidR="00885EF9" w:rsidRDefault="00885EF9" w:rsidP="00885EF9">
      <w:pPr>
        <w:rPr>
          <w:b/>
          <w:bCs/>
          <w:sz w:val="32"/>
          <w:szCs w:val="32"/>
        </w:rPr>
      </w:pPr>
    </w:p>
    <w:p w14:paraId="4A974414" w14:textId="281B9CEB" w:rsidR="008331DD" w:rsidRDefault="008331DD" w:rsidP="008331DD">
      <w:pPr>
        <w:pStyle w:val="Default"/>
      </w:pPr>
    </w:p>
    <w:p w14:paraId="465F9B31" w14:textId="5CD18D00" w:rsidR="008331DD" w:rsidRDefault="008331DD" w:rsidP="008331DD">
      <w:pPr>
        <w:pStyle w:val="Default"/>
      </w:pPr>
    </w:p>
    <w:p w14:paraId="6E1B2FE9" w14:textId="2409E19A" w:rsidR="008331DD" w:rsidRDefault="008331DD" w:rsidP="008331DD">
      <w:pPr>
        <w:pStyle w:val="Default"/>
      </w:pPr>
    </w:p>
    <w:p w14:paraId="2A209069" w14:textId="3E50E037" w:rsidR="008331DD" w:rsidRDefault="008331DD" w:rsidP="008331DD">
      <w:pPr>
        <w:pStyle w:val="Default"/>
      </w:pPr>
    </w:p>
    <w:p w14:paraId="3FB6702D" w14:textId="77777777" w:rsidR="008331DD" w:rsidRPr="008331DD" w:rsidRDefault="008331DD" w:rsidP="008331DD">
      <w:pPr>
        <w:pStyle w:val="Default"/>
      </w:pPr>
    </w:p>
    <w:p w14:paraId="03E91A04" w14:textId="135942A8" w:rsidR="008331DD" w:rsidRDefault="008331DD" w:rsidP="008331DD">
      <w:pPr>
        <w:spacing w:before="200"/>
        <w:jc w:val="center"/>
      </w:pPr>
      <w:r>
        <w:lastRenderedPageBreak/>
        <w:t>Corpus Christi Catholic Primary School</w:t>
      </w:r>
    </w:p>
    <w:p w14:paraId="136F43EC" w14:textId="625EE1A0" w:rsidR="008331DD" w:rsidRPr="008331DD" w:rsidRDefault="008331DD" w:rsidP="008331DD">
      <w:pPr>
        <w:spacing w:before="200"/>
        <w:jc w:val="center"/>
        <w:rPr>
          <w:b/>
          <w:bCs/>
          <w:sz w:val="36"/>
          <w:szCs w:val="36"/>
          <w:u w:val="single"/>
        </w:rPr>
      </w:pPr>
      <w:r w:rsidRPr="008331DD">
        <w:rPr>
          <w:b/>
          <w:bCs/>
          <w:sz w:val="36"/>
          <w:szCs w:val="36"/>
          <w:u w:val="single"/>
        </w:rPr>
        <w:t>Accessibility Strategy</w:t>
      </w:r>
    </w:p>
    <w:p w14:paraId="7684D926" w14:textId="77777777" w:rsidR="008331DD" w:rsidRDefault="008331DD" w:rsidP="008331DD">
      <w:pPr>
        <w:spacing w:before="200"/>
      </w:pPr>
      <w:r>
        <w:t xml:space="preserve">There is a requirement under the Equality Act 2010 for schools to have an accessibility strategy. It states that the strategy should: - </w:t>
      </w:r>
    </w:p>
    <w:p w14:paraId="4168223B" w14:textId="77777777" w:rsidR="008331DD" w:rsidRDefault="008331DD" w:rsidP="008331DD">
      <w:pPr>
        <w:spacing w:before="200"/>
      </w:pPr>
      <w:r>
        <w:t xml:space="preserve">(a) increase the extent to which disabled pupils can participate in the schools' </w:t>
      </w:r>
      <w:proofErr w:type="gramStart"/>
      <w:r>
        <w:t>curriculums;</w:t>
      </w:r>
      <w:proofErr w:type="gramEnd"/>
      <w:r>
        <w:t xml:space="preserve"> </w:t>
      </w:r>
    </w:p>
    <w:p w14:paraId="44FE63E3" w14:textId="77777777" w:rsidR="008331DD" w:rsidRDefault="008331DD" w:rsidP="008331DD">
      <w:pPr>
        <w:spacing w:before="200"/>
      </w:pPr>
      <w:r>
        <w:t xml:space="preserve">(b) improve the physical environment of the schools for the purpose of increasing the extent to which disabled pupils are able to take advantage of education and benefits, facilities or services provided or offered by the </w:t>
      </w:r>
      <w:proofErr w:type="gramStart"/>
      <w:r>
        <w:t>schools;</w:t>
      </w:r>
      <w:proofErr w:type="gramEnd"/>
      <w:r>
        <w:t xml:space="preserve"> </w:t>
      </w:r>
    </w:p>
    <w:p w14:paraId="4508E3FC" w14:textId="77777777" w:rsidR="008331DD" w:rsidRDefault="008331DD" w:rsidP="008331DD">
      <w:pPr>
        <w:spacing w:before="200"/>
      </w:pPr>
      <w:r>
        <w:t xml:space="preserve">(c) improve the delivery to disabled pupils of information which is readily accessible to pupils who are not disabled. </w:t>
      </w:r>
    </w:p>
    <w:p w14:paraId="243E9FFF" w14:textId="77777777" w:rsidR="008331DD" w:rsidRDefault="008331DD" w:rsidP="008331DD">
      <w:pPr>
        <w:spacing w:before="200"/>
      </w:pPr>
      <w:r>
        <w:t>The definition of disabled can be found in the Equality Act 2010. This Accessibility Plan covers the period from January 2022 to January 2025</w:t>
      </w:r>
    </w:p>
    <w:p w14:paraId="5E32F3B0" w14:textId="77777777" w:rsidR="008331DD" w:rsidRDefault="008331DD" w:rsidP="008331DD">
      <w:pPr>
        <w:spacing w:before="200"/>
      </w:pPr>
    </w:p>
    <w:p w14:paraId="16BF628F" w14:textId="77777777" w:rsidR="008331DD" w:rsidRDefault="008331DD" w:rsidP="008331DD">
      <w:pPr>
        <w:spacing w:before="200"/>
      </w:pPr>
      <w:r>
        <w:t xml:space="preserve">1. We are committed to providing a fully accessible environment which values and includes all pupils, staff, </w:t>
      </w:r>
      <w:proofErr w:type="gramStart"/>
      <w:r>
        <w:t>parents</w:t>
      </w:r>
      <w:proofErr w:type="gramEnd"/>
      <w:r>
        <w:t xml:space="preserve"> and visitors regardless of their education, physical, sensory, social, spiritual, emotional and cultural needs. We are committed to challenging negative attitudes about disability and accessibility and to developing a culture of awareness, </w:t>
      </w:r>
      <w:proofErr w:type="gramStart"/>
      <w:r>
        <w:t>tolerance</w:t>
      </w:r>
      <w:proofErr w:type="gramEnd"/>
      <w:r>
        <w:t xml:space="preserve"> and inclusion. </w:t>
      </w:r>
    </w:p>
    <w:p w14:paraId="7AEA020D" w14:textId="77777777" w:rsidR="008331DD" w:rsidRDefault="008331DD" w:rsidP="008331DD">
      <w:pPr>
        <w:spacing w:before="200"/>
      </w:pPr>
      <w:r>
        <w:t xml:space="preserve">2. Corpus Christi Catholic Primary School plans, over time, to increase the accessibility of provision for all pupils, </w:t>
      </w:r>
      <w:proofErr w:type="gramStart"/>
      <w:r>
        <w:t>staff</w:t>
      </w:r>
      <w:proofErr w:type="gramEnd"/>
      <w:r>
        <w:t xml:space="preserve"> and visitors to the school. The Accessibility Plan will contain relevant actions to: </w:t>
      </w:r>
    </w:p>
    <w:p w14:paraId="07B94744" w14:textId="77777777" w:rsidR="008331DD" w:rsidRDefault="008331DD" w:rsidP="008331DD">
      <w:pPr>
        <w:spacing w:before="200"/>
      </w:pPr>
      <w:r>
        <w:t xml:space="preserve">• Improve access to the </w:t>
      </w:r>
      <w:r w:rsidRPr="008331DD">
        <w:rPr>
          <w:b/>
          <w:bCs/>
        </w:rPr>
        <w:t>physical environment</w:t>
      </w:r>
      <w:r>
        <w:t xml:space="preserve"> of the school, adding specialist facilities as necessary. This covers improvements to the physical environment of the school and physical aids to access education. </w:t>
      </w:r>
    </w:p>
    <w:p w14:paraId="2D8A4D94" w14:textId="77777777" w:rsidR="008331DD" w:rsidRDefault="008331DD" w:rsidP="008331DD">
      <w:pPr>
        <w:spacing w:before="200"/>
      </w:pPr>
      <w:r>
        <w:t>• Increase access to the</w:t>
      </w:r>
      <w:r w:rsidRPr="008331DD">
        <w:rPr>
          <w:b/>
          <w:bCs/>
        </w:rPr>
        <w:t xml:space="preserve"> curriculum</w:t>
      </w:r>
      <w:r>
        <w:t xml:space="preserve"> for pupils with a disability, expanding the curriculum as necessary to ensure that pupils with a disability are as, equally, prepared for life as are the able-bodied pupils; (If a school fails to do </w:t>
      </w:r>
      <w:proofErr w:type="gramStart"/>
      <w:r>
        <w:t>this</w:t>
      </w:r>
      <w:proofErr w:type="gramEnd"/>
      <w:r>
        <w:t xml:space="preserve"> they are in breach of the DDA). This covers teaching and learning and the wider curriculum of the school such as participation in after-school clubs, leisure and cultural activities or school visits. It also covers the provision of specialist </w:t>
      </w:r>
      <w:r w:rsidRPr="008331DD">
        <w:rPr>
          <w:b/>
          <w:bCs/>
        </w:rPr>
        <w:t>aids and equipment</w:t>
      </w:r>
      <w:r>
        <w:t>, which may assist these pupils in accessing the curriculum.</w:t>
      </w:r>
    </w:p>
    <w:p w14:paraId="6A52B596" w14:textId="77777777" w:rsidR="008331DD" w:rsidRDefault="008331DD" w:rsidP="008331DD">
      <w:pPr>
        <w:spacing w:before="200"/>
      </w:pPr>
      <w:r>
        <w:t xml:space="preserve">• Improve the delivery of </w:t>
      </w:r>
      <w:r w:rsidRPr="008331DD">
        <w:rPr>
          <w:b/>
          <w:bCs/>
        </w:rPr>
        <w:t>written information</w:t>
      </w:r>
      <w:r>
        <w:t xml:space="preserve"> to pupils, staff, </w:t>
      </w:r>
      <w:proofErr w:type="gramStart"/>
      <w:r>
        <w:t>parents</w:t>
      </w:r>
      <w:proofErr w:type="gramEnd"/>
      <w:r>
        <w:t xml:space="preserve"> and visitors with disabilities. Examples might include handouts, timetables, textbooks and information about the school and school events. The information should be made available in various preferred formats within a reasonable time frame. </w:t>
      </w:r>
    </w:p>
    <w:p w14:paraId="4BE9A4B0" w14:textId="77777777" w:rsidR="008331DD" w:rsidRDefault="008331DD" w:rsidP="008331DD">
      <w:pPr>
        <w:spacing w:before="200"/>
      </w:pPr>
      <w:r>
        <w:t>3. Attached is the Action Plan, relating to these key aspects of accessibility. These plans will be reviewed and adjusted on an annual basis. New Plans will be drawn up every three years.</w:t>
      </w:r>
    </w:p>
    <w:p w14:paraId="3F32764C" w14:textId="77777777" w:rsidR="008331DD" w:rsidRDefault="008331DD" w:rsidP="008331DD">
      <w:pPr>
        <w:spacing w:before="200"/>
      </w:pPr>
      <w:r>
        <w:lastRenderedPageBreak/>
        <w:t xml:space="preserve"> 4. We acknowledge that there is a need for ongoing awareness raising and training for staff and governors in the matter of disability discrimination and the need to inform attitudes on this matter. </w:t>
      </w:r>
    </w:p>
    <w:p w14:paraId="73E81145" w14:textId="77777777" w:rsidR="008331DD" w:rsidRDefault="008331DD" w:rsidP="008331DD">
      <w:pPr>
        <w:spacing w:before="200"/>
      </w:pPr>
      <w:r>
        <w:t xml:space="preserve">5. The Action Plan for physical accessibility relates closely to the Health and Safety Checklist of the School, undertaken regularly by the School. It may not be feasible to undertake some of the works during the life of this Accessibility Plan and therefore some items will roll forward into subsequent plans. The audit will need to be revisited prior to the end of each first three-year plan period </w:t>
      </w:r>
      <w:proofErr w:type="gramStart"/>
      <w:r>
        <w:t>in order to</w:t>
      </w:r>
      <w:proofErr w:type="gramEnd"/>
      <w:r>
        <w:t xml:space="preserve"> inform the development of the new Plan for the following period. </w:t>
      </w:r>
    </w:p>
    <w:p w14:paraId="2894BE89" w14:textId="77777777" w:rsidR="008331DD" w:rsidRDefault="008331DD" w:rsidP="008331DD">
      <w:pPr>
        <w:spacing w:before="200"/>
      </w:pPr>
      <w:r>
        <w:t xml:space="preserve">6. The School’s complaints procedure covers the Accessibility Plan. </w:t>
      </w:r>
    </w:p>
    <w:p w14:paraId="771D4B28" w14:textId="77777777" w:rsidR="008331DD" w:rsidRDefault="008331DD" w:rsidP="008331DD">
      <w:pPr>
        <w:spacing w:before="200"/>
      </w:pPr>
      <w:r>
        <w:t xml:space="preserve">7. The Plan will be monitored through the Site Committee of the Governing Body. </w:t>
      </w:r>
    </w:p>
    <w:p w14:paraId="5A6B346F" w14:textId="6096CC5C" w:rsidR="008331DD" w:rsidRDefault="008331DD" w:rsidP="008331DD">
      <w:pPr>
        <w:spacing w:before="0" w:after="0" w:line="240" w:lineRule="auto"/>
      </w:pPr>
      <w:r>
        <w:t>8. The plan will be distributed to Parents via the School Website: (</w:t>
      </w:r>
      <w:r w:rsidRPr="008331DD">
        <w:t>https://www.corpuschristirainford.co.uk/</w:t>
      </w:r>
      <w:r>
        <w:t xml:space="preserve">). </w:t>
      </w:r>
    </w:p>
    <w:p w14:paraId="365A9ED1" w14:textId="78D639F4" w:rsidR="008331DD" w:rsidRDefault="008331DD" w:rsidP="008331DD">
      <w:pPr>
        <w:spacing w:before="200"/>
      </w:pPr>
      <w:r>
        <w:t>9. The Plan will be monitored by Ofsted as part of their inspection regime.</w:t>
      </w:r>
    </w:p>
    <w:p w14:paraId="4D7A4F5C" w14:textId="684350DD" w:rsidR="008331DD" w:rsidRDefault="008331DD" w:rsidP="008331DD">
      <w:pPr>
        <w:pStyle w:val="Default"/>
        <w:ind w:left="0" w:firstLine="0"/>
      </w:pPr>
    </w:p>
    <w:p w14:paraId="79822352" w14:textId="1091F65B" w:rsidR="008331DD" w:rsidRDefault="008331DD" w:rsidP="008331DD">
      <w:pPr>
        <w:pStyle w:val="Default"/>
        <w:ind w:left="0" w:firstLine="0"/>
      </w:pPr>
    </w:p>
    <w:p w14:paraId="4AA4B462" w14:textId="2BA8FDB4" w:rsidR="008331DD" w:rsidRDefault="008331DD" w:rsidP="008331DD">
      <w:pPr>
        <w:pStyle w:val="Default"/>
        <w:ind w:left="0" w:firstLine="0"/>
      </w:pPr>
    </w:p>
    <w:p w14:paraId="0D199DAA" w14:textId="2AC229DF" w:rsidR="008331DD" w:rsidRDefault="008331DD" w:rsidP="008331DD">
      <w:pPr>
        <w:pStyle w:val="Default"/>
        <w:ind w:left="0" w:firstLine="0"/>
      </w:pPr>
    </w:p>
    <w:p w14:paraId="75CD22CE" w14:textId="59BD2E06" w:rsidR="008331DD" w:rsidRDefault="008331DD" w:rsidP="008331DD">
      <w:pPr>
        <w:pStyle w:val="Default"/>
        <w:ind w:left="0" w:firstLine="0"/>
      </w:pPr>
    </w:p>
    <w:p w14:paraId="499B7951" w14:textId="6C89E9CC" w:rsidR="008331DD" w:rsidRDefault="008331DD" w:rsidP="008331DD">
      <w:pPr>
        <w:pStyle w:val="Default"/>
        <w:ind w:left="0" w:firstLine="0"/>
      </w:pPr>
    </w:p>
    <w:p w14:paraId="01DB1AFE" w14:textId="4DA73AB2" w:rsidR="008331DD" w:rsidRDefault="008331DD" w:rsidP="008331DD">
      <w:pPr>
        <w:pStyle w:val="Default"/>
        <w:ind w:left="0" w:firstLine="0"/>
      </w:pPr>
    </w:p>
    <w:p w14:paraId="23838FE4" w14:textId="0933E46A" w:rsidR="008331DD" w:rsidRDefault="008331DD" w:rsidP="008331DD">
      <w:pPr>
        <w:pStyle w:val="Default"/>
        <w:ind w:left="0" w:firstLine="0"/>
      </w:pPr>
    </w:p>
    <w:p w14:paraId="26CE6E08" w14:textId="585FF33C" w:rsidR="008331DD" w:rsidRDefault="008331DD" w:rsidP="008331DD">
      <w:pPr>
        <w:pStyle w:val="Default"/>
        <w:ind w:left="0" w:firstLine="0"/>
      </w:pPr>
    </w:p>
    <w:p w14:paraId="740325D3" w14:textId="37CF1879" w:rsidR="008331DD" w:rsidRDefault="008331DD" w:rsidP="008331DD">
      <w:pPr>
        <w:pStyle w:val="Default"/>
        <w:ind w:left="0" w:firstLine="0"/>
      </w:pPr>
    </w:p>
    <w:p w14:paraId="1EEAA783" w14:textId="2B28FFFE" w:rsidR="008331DD" w:rsidRDefault="008331DD" w:rsidP="008331DD">
      <w:pPr>
        <w:pStyle w:val="Default"/>
        <w:ind w:left="0" w:firstLine="0"/>
      </w:pPr>
    </w:p>
    <w:p w14:paraId="5EF17DFA" w14:textId="717ABD54" w:rsidR="008331DD" w:rsidRDefault="008331DD" w:rsidP="008331DD">
      <w:pPr>
        <w:pStyle w:val="Default"/>
        <w:ind w:left="0" w:firstLine="0"/>
      </w:pPr>
    </w:p>
    <w:p w14:paraId="0CBE33BC" w14:textId="77D35C48" w:rsidR="008331DD" w:rsidRDefault="008331DD" w:rsidP="008331DD">
      <w:pPr>
        <w:pStyle w:val="Default"/>
        <w:ind w:left="0" w:firstLine="0"/>
      </w:pPr>
    </w:p>
    <w:p w14:paraId="02881DB6" w14:textId="3AE883CB" w:rsidR="008331DD" w:rsidRDefault="008331DD" w:rsidP="008331DD">
      <w:pPr>
        <w:pStyle w:val="Default"/>
        <w:ind w:left="0" w:firstLine="0"/>
      </w:pPr>
    </w:p>
    <w:p w14:paraId="0514D0D4" w14:textId="0A9C037A" w:rsidR="008331DD" w:rsidRDefault="008331DD" w:rsidP="008331DD">
      <w:pPr>
        <w:pStyle w:val="Default"/>
        <w:ind w:left="0" w:firstLine="0"/>
      </w:pPr>
    </w:p>
    <w:p w14:paraId="1E3E041D" w14:textId="4C308721" w:rsidR="008331DD" w:rsidRDefault="008331DD" w:rsidP="008331DD">
      <w:pPr>
        <w:pStyle w:val="Default"/>
        <w:ind w:left="0" w:firstLine="0"/>
      </w:pPr>
    </w:p>
    <w:p w14:paraId="7CBCD879" w14:textId="73C991D7" w:rsidR="008331DD" w:rsidRDefault="008331DD" w:rsidP="008331DD">
      <w:pPr>
        <w:pStyle w:val="Default"/>
        <w:ind w:left="0" w:firstLine="0"/>
      </w:pPr>
    </w:p>
    <w:p w14:paraId="16ECD6ED" w14:textId="16FDF248" w:rsidR="008331DD" w:rsidRDefault="008331DD" w:rsidP="008331DD">
      <w:pPr>
        <w:pStyle w:val="Default"/>
        <w:ind w:left="0" w:firstLine="0"/>
      </w:pPr>
    </w:p>
    <w:p w14:paraId="27445FC4" w14:textId="051AB11B" w:rsidR="008331DD" w:rsidRDefault="008331DD" w:rsidP="008331DD">
      <w:pPr>
        <w:pStyle w:val="Default"/>
        <w:ind w:left="0" w:firstLine="0"/>
      </w:pPr>
    </w:p>
    <w:p w14:paraId="6C09168C" w14:textId="33B2EC7A" w:rsidR="008331DD" w:rsidRDefault="008331DD" w:rsidP="008331DD">
      <w:pPr>
        <w:pStyle w:val="Default"/>
        <w:ind w:left="0" w:firstLine="0"/>
      </w:pPr>
    </w:p>
    <w:p w14:paraId="7226C249" w14:textId="53F84CAD" w:rsidR="008331DD" w:rsidRDefault="008331DD" w:rsidP="008331DD">
      <w:pPr>
        <w:pStyle w:val="Default"/>
        <w:ind w:left="0" w:firstLine="0"/>
      </w:pPr>
    </w:p>
    <w:p w14:paraId="77A260E3" w14:textId="2B6BCEB7" w:rsidR="008331DD" w:rsidRDefault="008331DD" w:rsidP="008331DD">
      <w:pPr>
        <w:pStyle w:val="Default"/>
        <w:ind w:left="0" w:firstLine="0"/>
      </w:pPr>
    </w:p>
    <w:p w14:paraId="539D5677" w14:textId="026D2021" w:rsidR="008331DD" w:rsidRDefault="008331DD" w:rsidP="008331DD">
      <w:pPr>
        <w:pStyle w:val="Default"/>
        <w:ind w:left="0" w:firstLine="0"/>
      </w:pPr>
    </w:p>
    <w:p w14:paraId="725BDF6E" w14:textId="77777777" w:rsidR="008331DD" w:rsidRDefault="008331DD" w:rsidP="008331DD">
      <w:pPr>
        <w:pStyle w:val="Default"/>
        <w:ind w:left="0" w:firstLine="0"/>
        <w:sectPr w:rsidR="008331DD" w:rsidSect="00D32F6F">
          <w:headerReference w:type="default" r:id="rId12"/>
          <w:headerReference w:type="first" r:id="rId13"/>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2F764145" w14:textId="71375064" w:rsidR="008331DD" w:rsidRDefault="008331DD" w:rsidP="00191992">
      <w:pPr>
        <w:pStyle w:val="Default"/>
        <w:spacing w:before="0"/>
        <w:ind w:left="0" w:firstLine="0"/>
        <w:contextualSpacing/>
      </w:pPr>
      <w:r>
        <w:lastRenderedPageBreak/>
        <w:t>Accessibility Plan January 2022 – January 2025</w:t>
      </w:r>
    </w:p>
    <w:p w14:paraId="04DF3D5D" w14:textId="031EC3E3" w:rsidR="008331DD" w:rsidRDefault="008331DD" w:rsidP="00191992">
      <w:pPr>
        <w:pStyle w:val="Default"/>
        <w:spacing w:before="0"/>
        <w:ind w:left="0" w:firstLine="0"/>
        <w:contextualSpacing/>
      </w:pPr>
      <w:r>
        <w:t>Corpus Christi</w:t>
      </w:r>
      <w:r w:rsidR="00191992">
        <w:t xml:space="preserve"> Catholic Primary School</w:t>
      </w:r>
    </w:p>
    <w:p w14:paraId="4E4D965C" w14:textId="118E186D" w:rsidR="00191992" w:rsidRDefault="00191992" w:rsidP="00191992">
      <w:pPr>
        <w:pStyle w:val="Default"/>
        <w:spacing w:before="0"/>
        <w:ind w:left="0" w:firstLine="0"/>
        <w:contextualSpacing/>
      </w:pPr>
    </w:p>
    <w:tbl>
      <w:tblPr>
        <w:tblStyle w:val="TableGrid"/>
        <w:tblW w:w="0" w:type="auto"/>
        <w:tblLook w:val="04A0" w:firstRow="1" w:lastRow="0" w:firstColumn="1" w:lastColumn="0" w:noHBand="0" w:noVBand="1"/>
      </w:tblPr>
      <w:tblGrid>
        <w:gridCol w:w="2789"/>
        <w:gridCol w:w="2789"/>
        <w:gridCol w:w="2790"/>
        <w:gridCol w:w="2790"/>
        <w:gridCol w:w="2790"/>
      </w:tblGrid>
      <w:tr w:rsidR="00191992" w14:paraId="01374874" w14:textId="77777777" w:rsidTr="00F57CF9">
        <w:tc>
          <w:tcPr>
            <w:tcW w:w="13948" w:type="dxa"/>
            <w:gridSpan w:val="5"/>
            <w:shd w:val="clear" w:color="auto" w:fill="FFE269" w:themeFill="accent5" w:themeFillTint="99"/>
          </w:tcPr>
          <w:p w14:paraId="00F6E71E" w14:textId="77777777" w:rsidR="00191992" w:rsidRPr="00F57CF9" w:rsidRDefault="00191992" w:rsidP="00191992">
            <w:pPr>
              <w:spacing w:before="0"/>
              <w:jc w:val="center"/>
              <w:rPr>
                <w:b/>
                <w:bCs/>
                <w:sz w:val="40"/>
                <w:szCs w:val="40"/>
              </w:rPr>
            </w:pPr>
            <w:r w:rsidRPr="00F57CF9">
              <w:rPr>
                <w:b/>
                <w:bCs/>
                <w:sz w:val="40"/>
                <w:szCs w:val="40"/>
              </w:rPr>
              <w:t>Improving Curriculum Access</w:t>
            </w:r>
          </w:p>
          <w:p w14:paraId="0095785D" w14:textId="0257E4F3" w:rsidR="00F57CF9" w:rsidRPr="00F57CF9" w:rsidRDefault="00F57CF9" w:rsidP="00F57CF9">
            <w:pPr>
              <w:pStyle w:val="Default"/>
              <w:rPr>
                <w:b/>
                <w:bCs/>
              </w:rPr>
            </w:pPr>
          </w:p>
        </w:tc>
      </w:tr>
      <w:tr w:rsidR="00191992" w14:paraId="3D0479F7" w14:textId="77777777" w:rsidTr="00F57CF9">
        <w:tc>
          <w:tcPr>
            <w:tcW w:w="2789" w:type="dxa"/>
            <w:shd w:val="clear" w:color="auto" w:fill="00B0F0"/>
          </w:tcPr>
          <w:p w14:paraId="40E33440" w14:textId="3106377B" w:rsidR="00191992" w:rsidRPr="00F57CF9" w:rsidRDefault="00191992" w:rsidP="00191992">
            <w:pPr>
              <w:spacing w:before="0"/>
              <w:jc w:val="center"/>
              <w:rPr>
                <w:b/>
                <w:bCs/>
              </w:rPr>
            </w:pPr>
            <w:r w:rsidRPr="00F57CF9">
              <w:rPr>
                <w:b/>
                <w:bCs/>
              </w:rPr>
              <w:t>Target</w:t>
            </w:r>
          </w:p>
        </w:tc>
        <w:tc>
          <w:tcPr>
            <w:tcW w:w="2789" w:type="dxa"/>
            <w:shd w:val="clear" w:color="auto" w:fill="00B0F0"/>
          </w:tcPr>
          <w:p w14:paraId="675863BC" w14:textId="0D144F5A" w:rsidR="00191992" w:rsidRPr="00F57CF9" w:rsidRDefault="00191992" w:rsidP="00191992">
            <w:pPr>
              <w:spacing w:before="0"/>
              <w:jc w:val="center"/>
              <w:rPr>
                <w:b/>
                <w:bCs/>
              </w:rPr>
            </w:pPr>
            <w:r w:rsidRPr="00F57CF9">
              <w:rPr>
                <w:b/>
                <w:bCs/>
              </w:rPr>
              <w:t>Strategy</w:t>
            </w:r>
          </w:p>
        </w:tc>
        <w:tc>
          <w:tcPr>
            <w:tcW w:w="2790" w:type="dxa"/>
            <w:shd w:val="clear" w:color="auto" w:fill="00B0F0"/>
          </w:tcPr>
          <w:p w14:paraId="0EF74BAE" w14:textId="77777777" w:rsidR="00191992" w:rsidRPr="00F57CF9" w:rsidRDefault="00191992" w:rsidP="00191992">
            <w:pPr>
              <w:spacing w:before="0"/>
              <w:jc w:val="center"/>
              <w:rPr>
                <w:b/>
                <w:bCs/>
              </w:rPr>
            </w:pPr>
            <w:r w:rsidRPr="00F57CF9">
              <w:rPr>
                <w:b/>
                <w:bCs/>
              </w:rPr>
              <w:t>Outcome</w:t>
            </w:r>
          </w:p>
          <w:p w14:paraId="44F704C7" w14:textId="32E8259A" w:rsidR="00F57CF9" w:rsidRPr="00F57CF9" w:rsidRDefault="00F57CF9" w:rsidP="00F57CF9">
            <w:pPr>
              <w:pStyle w:val="Default"/>
              <w:rPr>
                <w:b/>
                <w:bCs/>
              </w:rPr>
            </w:pPr>
          </w:p>
        </w:tc>
        <w:tc>
          <w:tcPr>
            <w:tcW w:w="2790" w:type="dxa"/>
            <w:shd w:val="clear" w:color="auto" w:fill="00B0F0"/>
          </w:tcPr>
          <w:p w14:paraId="537F2C32" w14:textId="55343CDB" w:rsidR="00191992" w:rsidRPr="00F57CF9" w:rsidRDefault="00191992" w:rsidP="00191992">
            <w:pPr>
              <w:spacing w:before="0"/>
              <w:jc w:val="center"/>
              <w:rPr>
                <w:b/>
                <w:bCs/>
              </w:rPr>
            </w:pPr>
            <w:r w:rsidRPr="00F57CF9">
              <w:rPr>
                <w:b/>
                <w:bCs/>
              </w:rPr>
              <w:t>Timeframe</w:t>
            </w:r>
          </w:p>
        </w:tc>
        <w:tc>
          <w:tcPr>
            <w:tcW w:w="2790" w:type="dxa"/>
            <w:shd w:val="clear" w:color="auto" w:fill="00B0F0"/>
          </w:tcPr>
          <w:p w14:paraId="50CF5534" w14:textId="64665BDE" w:rsidR="00191992" w:rsidRPr="00F57CF9" w:rsidRDefault="00191992" w:rsidP="00191992">
            <w:pPr>
              <w:spacing w:before="0"/>
              <w:jc w:val="center"/>
              <w:rPr>
                <w:b/>
                <w:bCs/>
              </w:rPr>
            </w:pPr>
            <w:r w:rsidRPr="00F57CF9">
              <w:rPr>
                <w:b/>
                <w:bCs/>
              </w:rPr>
              <w:t>Achievement</w:t>
            </w:r>
          </w:p>
        </w:tc>
      </w:tr>
      <w:tr w:rsidR="00191992" w14:paraId="50592F42" w14:textId="77777777" w:rsidTr="00FF4E03">
        <w:tc>
          <w:tcPr>
            <w:tcW w:w="2789" w:type="dxa"/>
          </w:tcPr>
          <w:p w14:paraId="6FC7DCE8" w14:textId="77777777" w:rsidR="00191992" w:rsidRDefault="00191992" w:rsidP="00191992">
            <w:pPr>
              <w:spacing w:before="0"/>
              <w:jc w:val="left"/>
            </w:pPr>
            <w:r>
              <w:t>Classrooms are optimally organised to promote the participation and independence of all pupils</w:t>
            </w:r>
          </w:p>
        </w:tc>
        <w:tc>
          <w:tcPr>
            <w:tcW w:w="2789" w:type="dxa"/>
          </w:tcPr>
          <w:p w14:paraId="6172AADD" w14:textId="16E37007" w:rsidR="00191992" w:rsidRDefault="00191992" w:rsidP="00191992">
            <w:pPr>
              <w:spacing w:before="0"/>
              <w:jc w:val="left"/>
            </w:pPr>
            <w:r>
              <w:t>Review and implement a preferred layout of furniture and equipment to support the learning process in individual bases.</w:t>
            </w:r>
          </w:p>
        </w:tc>
        <w:tc>
          <w:tcPr>
            <w:tcW w:w="2790" w:type="dxa"/>
          </w:tcPr>
          <w:p w14:paraId="0711C06C" w14:textId="3823ED46" w:rsidR="00191992" w:rsidRDefault="00191992" w:rsidP="00191992">
            <w:pPr>
              <w:spacing w:before="0"/>
              <w:jc w:val="left"/>
            </w:pPr>
            <w:r>
              <w:t xml:space="preserve">Lessons start on time without the need to </w:t>
            </w:r>
            <w:proofErr w:type="gramStart"/>
            <w:r>
              <w:t>make adjustments to</w:t>
            </w:r>
            <w:proofErr w:type="gramEnd"/>
            <w:r>
              <w:t xml:space="preserve"> accommodate the needs of individual pupils</w:t>
            </w:r>
          </w:p>
        </w:tc>
        <w:tc>
          <w:tcPr>
            <w:tcW w:w="2790" w:type="dxa"/>
          </w:tcPr>
          <w:p w14:paraId="4F0FA46F" w14:textId="506802F6" w:rsidR="00191992" w:rsidRDefault="00191992" w:rsidP="00191992">
            <w:pPr>
              <w:spacing w:before="0"/>
              <w:jc w:val="left"/>
            </w:pPr>
            <w:r>
              <w:t>Ongoing and reviewed half termly</w:t>
            </w:r>
          </w:p>
        </w:tc>
        <w:tc>
          <w:tcPr>
            <w:tcW w:w="2790" w:type="dxa"/>
          </w:tcPr>
          <w:p w14:paraId="26240ED1" w14:textId="24BC1FA4" w:rsidR="00191992" w:rsidRDefault="00191992" w:rsidP="00191992">
            <w:pPr>
              <w:spacing w:before="0"/>
              <w:jc w:val="left"/>
            </w:pPr>
            <w:r>
              <w:t>Full access to the National Curriculum</w:t>
            </w:r>
          </w:p>
        </w:tc>
      </w:tr>
      <w:tr w:rsidR="00191992" w14:paraId="23C84E3D" w14:textId="77777777" w:rsidTr="00FF4E03">
        <w:tc>
          <w:tcPr>
            <w:tcW w:w="2789" w:type="dxa"/>
          </w:tcPr>
          <w:p w14:paraId="0876CDD2" w14:textId="5E09E8F8" w:rsidR="00191992" w:rsidRDefault="00191992" w:rsidP="00191992">
            <w:pPr>
              <w:spacing w:before="0"/>
              <w:jc w:val="left"/>
            </w:pPr>
            <w:r>
              <w:t>Improved access for all pupils but particularly less able to improve safe travel around school</w:t>
            </w:r>
          </w:p>
        </w:tc>
        <w:tc>
          <w:tcPr>
            <w:tcW w:w="2789" w:type="dxa"/>
          </w:tcPr>
          <w:p w14:paraId="50C2B8C5" w14:textId="52868E63" w:rsidR="00191992" w:rsidRDefault="00191992" w:rsidP="00191992">
            <w:pPr>
              <w:spacing w:before="0"/>
              <w:jc w:val="left"/>
            </w:pPr>
            <w:r>
              <w:t xml:space="preserve">Sort existing resources and declutter. Sort shelves and </w:t>
            </w:r>
            <w:proofErr w:type="gramStart"/>
            <w:r>
              <w:t>store rooms</w:t>
            </w:r>
            <w:proofErr w:type="gramEnd"/>
            <w:r>
              <w:t xml:space="preserve"> / Containers to optimise their use. Purchase any furniture to help with this. </w:t>
            </w:r>
          </w:p>
        </w:tc>
        <w:tc>
          <w:tcPr>
            <w:tcW w:w="2790" w:type="dxa"/>
          </w:tcPr>
          <w:p w14:paraId="59374258" w14:textId="12D4E507" w:rsidR="00191992" w:rsidRDefault="00191992" w:rsidP="00191992">
            <w:pPr>
              <w:spacing w:before="0"/>
              <w:jc w:val="left"/>
            </w:pPr>
            <w:r>
              <w:t>All areas around school comply with Health and Safety regulations and trip hazards are avoided.</w:t>
            </w:r>
          </w:p>
        </w:tc>
        <w:tc>
          <w:tcPr>
            <w:tcW w:w="2790" w:type="dxa"/>
          </w:tcPr>
          <w:p w14:paraId="37F90F93" w14:textId="594F9B0E" w:rsidR="00191992" w:rsidRDefault="00191992" w:rsidP="00191992">
            <w:pPr>
              <w:spacing w:before="0"/>
              <w:jc w:val="left"/>
            </w:pPr>
            <w:r>
              <w:t>Ongoing</w:t>
            </w:r>
          </w:p>
        </w:tc>
        <w:tc>
          <w:tcPr>
            <w:tcW w:w="2790" w:type="dxa"/>
          </w:tcPr>
          <w:p w14:paraId="68D73991" w14:textId="408E55D1" w:rsidR="00191992" w:rsidRDefault="00191992" w:rsidP="00191992">
            <w:pPr>
              <w:spacing w:before="0"/>
              <w:jc w:val="left"/>
            </w:pPr>
            <w:r>
              <w:t>Access improved for all but particularly for those with mobility issues.</w:t>
            </w:r>
          </w:p>
        </w:tc>
      </w:tr>
      <w:tr w:rsidR="00191992" w14:paraId="11CCBFDF" w14:textId="77777777" w:rsidTr="00FF4E03">
        <w:tc>
          <w:tcPr>
            <w:tcW w:w="2789" w:type="dxa"/>
          </w:tcPr>
          <w:p w14:paraId="566E367A" w14:textId="0614DDAE" w:rsidR="00191992" w:rsidRDefault="00191992" w:rsidP="00191992">
            <w:pPr>
              <w:spacing w:before="0"/>
              <w:jc w:val="left"/>
            </w:pPr>
            <w:r>
              <w:t>All relevant staff trained to deliver curriculum to ASD pupils</w:t>
            </w:r>
          </w:p>
        </w:tc>
        <w:tc>
          <w:tcPr>
            <w:tcW w:w="2789" w:type="dxa"/>
          </w:tcPr>
          <w:p w14:paraId="5D2CC8A0" w14:textId="22D060FF" w:rsidR="00191992" w:rsidRDefault="00191992" w:rsidP="00191992">
            <w:pPr>
              <w:spacing w:before="0"/>
              <w:jc w:val="left"/>
            </w:pPr>
            <w:r>
              <w:t>LASC and AET teams to deliver training with all relevant staff</w:t>
            </w:r>
          </w:p>
        </w:tc>
        <w:tc>
          <w:tcPr>
            <w:tcW w:w="2790" w:type="dxa"/>
          </w:tcPr>
          <w:p w14:paraId="1A1987F5" w14:textId="6A85EF2B" w:rsidR="00191992" w:rsidRDefault="00191992" w:rsidP="00191992">
            <w:pPr>
              <w:spacing w:before="0"/>
              <w:jc w:val="left"/>
            </w:pPr>
            <w:r>
              <w:t xml:space="preserve">Staff to be able to be confident to deliver </w:t>
            </w:r>
            <w:proofErr w:type="gramStart"/>
            <w:r>
              <w:t>a</w:t>
            </w:r>
            <w:proofErr w:type="gramEnd"/>
            <w:r>
              <w:t xml:space="preserve"> adapted curriculum offer which can be access by pupils with profound ASD.</w:t>
            </w:r>
          </w:p>
        </w:tc>
        <w:tc>
          <w:tcPr>
            <w:tcW w:w="2790" w:type="dxa"/>
          </w:tcPr>
          <w:p w14:paraId="60816FB5" w14:textId="322C0272" w:rsidR="00191992" w:rsidRDefault="00191992" w:rsidP="00191992">
            <w:pPr>
              <w:spacing w:before="0"/>
              <w:jc w:val="left"/>
            </w:pPr>
            <w:r>
              <w:t xml:space="preserve">At least 3 x a year </w:t>
            </w:r>
          </w:p>
        </w:tc>
        <w:tc>
          <w:tcPr>
            <w:tcW w:w="2790" w:type="dxa"/>
          </w:tcPr>
          <w:p w14:paraId="60A76B50" w14:textId="0DE5F723" w:rsidR="00191992" w:rsidRDefault="00191992" w:rsidP="00191992">
            <w:pPr>
              <w:spacing w:before="0"/>
              <w:jc w:val="left"/>
            </w:pPr>
            <w:r>
              <w:t xml:space="preserve">Curriculum accessible to pupils with profound ASD with suitable amendments </w:t>
            </w:r>
            <w:proofErr w:type="gramStart"/>
            <w:r>
              <w:t>made:</w:t>
            </w:r>
            <w:proofErr w:type="gramEnd"/>
            <w:r>
              <w:t xml:space="preserve"> adapted curriculum offer</w:t>
            </w:r>
          </w:p>
        </w:tc>
      </w:tr>
      <w:tr w:rsidR="00191992" w14:paraId="38465AA5" w14:textId="77777777" w:rsidTr="00FF4E03">
        <w:tc>
          <w:tcPr>
            <w:tcW w:w="2789" w:type="dxa"/>
          </w:tcPr>
          <w:p w14:paraId="76E97F63" w14:textId="748A28CC" w:rsidR="00191992" w:rsidRDefault="00191992" w:rsidP="00191992">
            <w:pPr>
              <w:spacing w:before="0"/>
              <w:jc w:val="left"/>
            </w:pPr>
            <w:r>
              <w:t>All relevant staff to deliver curriculum to pupils with S&amp;L difficulties and or EAL</w:t>
            </w:r>
          </w:p>
        </w:tc>
        <w:tc>
          <w:tcPr>
            <w:tcW w:w="2789" w:type="dxa"/>
          </w:tcPr>
          <w:p w14:paraId="76C8EDB3" w14:textId="28014347" w:rsidR="00191992" w:rsidRDefault="00191992" w:rsidP="00191992">
            <w:pPr>
              <w:spacing w:before="0"/>
              <w:jc w:val="left"/>
            </w:pPr>
            <w:r>
              <w:t>Speech and language specialists and EAL specialist to deliver training with all relevant staff</w:t>
            </w:r>
          </w:p>
        </w:tc>
        <w:tc>
          <w:tcPr>
            <w:tcW w:w="2790" w:type="dxa"/>
          </w:tcPr>
          <w:p w14:paraId="1553EC3C" w14:textId="50485755" w:rsidR="00191992" w:rsidRDefault="00191992" w:rsidP="00191992">
            <w:pPr>
              <w:spacing w:before="0"/>
              <w:jc w:val="left"/>
            </w:pPr>
            <w:r>
              <w:t xml:space="preserve">Staff to be able to be confident to deliver </w:t>
            </w:r>
            <w:proofErr w:type="gramStart"/>
            <w:r>
              <w:t>a</w:t>
            </w:r>
            <w:proofErr w:type="gramEnd"/>
            <w:r>
              <w:t xml:space="preserve"> adapted curriculum offer which can be access by pupils with </w:t>
            </w:r>
            <w:r w:rsidR="00F57CF9">
              <w:t>EAL and or S&amp;L difficulties.</w:t>
            </w:r>
          </w:p>
        </w:tc>
        <w:tc>
          <w:tcPr>
            <w:tcW w:w="2790" w:type="dxa"/>
          </w:tcPr>
          <w:p w14:paraId="4F9A652E" w14:textId="06303D7B" w:rsidR="00191992" w:rsidRDefault="00F57CF9" w:rsidP="00191992">
            <w:pPr>
              <w:spacing w:before="0"/>
              <w:jc w:val="left"/>
            </w:pPr>
            <w:r>
              <w:t>At least 3 x a year</w:t>
            </w:r>
          </w:p>
        </w:tc>
        <w:tc>
          <w:tcPr>
            <w:tcW w:w="2790" w:type="dxa"/>
          </w:tcPr>
          <w:p w14:paraId="71287611" w14:textId="66BE7054" w:rsidR="00191992" w:rsidRDefault="00F57CF9" w:rsidP="00191992">
            <w:pPr>
              <w:spacing w:before="0"/>
              <w:jc w:val="left"/>
            </w:pPr>
            <w:r>
              <w:t xml:space="preserve">Curriculum accessible to pupils with EAL/S&amp;L with suitable amendments </w:t>
            </w:r>
            <w:proofErr w:type="gramStart"/>
            <w:r>
              <w:t>made:</w:t>
            </w:r>
            <w:proofErr w:type="gramEnd"/>
            <w:r>
              <w:t xml:space="preserve"> adapted curriculum offer</w:t>
            </w:r>
          </w:p>
        </w:tc>
      </w:tr>
    </w:tbl>
    <w:p w14:paraId="134BBF47" w14:textId="4F75ECFE" w:rsidR="00191992" w:rsidRDefault="00191992" w:rsidP="00191992">
      <w:pPr>
        <w:pStyle w:val="Default"/>
        <w:spacing w:before="0"/>
        <w:ind w:left="0" w:firstLine="0"/>
        <w:contextualSpacing/>
        <w:jc w:val="left"/>
      </w:pPr>
    </w:p>
    <w:p w14:paraId="7A11AFC6" w14:textId="71AA6C31" w:rsidR="00F57CF9" w:rsidRDefault="00F57CF9" w:rsidP="00191992">
      <w:pPr>
        <w:pStyle w:val="Default"/>
        <w:spacing w:before="0"/>
        <w:ind w:left="0" w:firstLine="0"/>
        <w:contextualSpacing/>
        <w:jc w:val="left"/>
      </w:pPr>
    </w:p>
    <w:tbl>
      <w:tblPr>
        <w:tblStyle w:val="TableGrid"/>
        <w:tblW w:w="0" w:type="auto"/>
        <w:tblLook w:val="04A0" w:firstRow="1" w:lastRow="0" w:firstColumn="1" w:lastColumn="0" w:noHBand="0" w:noVBand="1"/>
      </w:tblPr>
      <w:tblGrid>
        <w:gridCol w:w="2789"/>
        <w:gridCol w:w="2789"/>
        <w:gridCol w:w="2790"/>
        <w:gridCol w:w="2790"/>
        <w:gridCol w:w="2790"/>
      </w:tblGrid>
      <w:tr w:rsidR="00F57CF9" w14:paraId="54CF3674" w14:textId="77777777" w:rsidTr="00FF4E03">
        <w:tc>
          <w:tcPr>
            <w:tcW w:w="13948" w:type="dxa"/>
            <w:gridSpan w:val="5"/>
            <w:shd w:val="clear" w:color="auto" w:fill="FFE269" w:themeFill="accent5" w:themeFillTint="99"/>
          </w:tcPr>
          <w:p w14:paraId="0CB890AA" w14:textId="1A9E5C65" w:rsidR="00F57CF9" w:rsidRPr="00F57CF9" w:rsidRDefault="00F57CF9" w:rsidP="00FF4E03">
            <w:pPr>
              <w:spacing w:before="0"/>
              <w:jc w:val="center"/>
              <w:rPr>
                <w:b/>
                <w:bCs/>
                <w:sz w:val="40"/>
                <w:szCs w:val="40"/>
              </w:rPr>
            </w:pPr>
            <w:r w:rsidRPr="00F57CF9">
              <w:rPr>
                <w:b/>
                <w:bCs/>
                <w:sz w:val="40"/>
                <w:szCs w:val="40"/>
              </w:rPr>
              <w:lastRenderedPageBreak/>
              <w:t xml:space="preserve">Improving </w:t>
            </w:r>
            <w:r>
              <w:rPr>
                <w:b/>
                <w:bCs/>
                <w:sz w:val="40"/>
                <w:szCs w:val="40"/>
              </w:rPr>
              <w:t>Physical</w:t>
            </w:r>
            <w:r w:rsidRPr="00F57CF9">
              <w:rPr>
                <w:b/>
                <w:bCs/>
                <w:sz w:val="40"/>
                <w:szCs w:val="40"/>
              </w:rPr>
              <w:t xml:space="preserve"> Access</w:t>
            </w:r>
          </w:p>
          <w:p w14:paraId="1F9290F1" w14:textId="77777777" w:rsidR="00F57CF9" w:rsidRPr="00F57CF9" w:rsidRDefault="00F57CF9" w:rsidP="00FF4E03">
            <w:pPr>
              <w:pStyle w:val="Default"/>
              <w:rPr>
                <w:b/>
                <w:bCs/>
              </w:rPr>
            </w:pPr>
          </w:p>
        </w:tc>
      </w:tr>
      <w:tr w:rsidR="00F57CF9" w14:paraId="38223BFD" w14:textId="77777777" w:rsidTr="00FF4E03">
        <w:tc>
          <w:tcPr>
            <w:tcW w:w="2789" w:type="dxa"/>
            <w:shd w:val="clear" w:color="auto" w:fill="00B0F0"/>
          </w:tcPr>
          <w:p w14:paraId="2C68F63B" w14:textId="77777777" w:rsidR="00F57CF9" w:rsidRPr="00F57CF9" w:rsidRDefault="00F57CF9" w:rsidP="00FF4E03">
            <w:pPr>
              <w:spacing w:before="0"/>
              <w:jc w:val="center"/>
              <w:rPr>
                <w:b/>
                <w:bCs/>
              </w:rPr>
            </w:pPr>
            <w:r w:rsidRPr="00F57CF9">
              <w:rPr>
                <w:b/>
                <w:bCs/>
              </w:rPr>
              <w:t>Target</w:t>
            </w:r>
          </w:p>
        </w:tc>
        <w:tc>
          <w:tcPr>
            <w:tcW w:w="2789" w:type="dxa"/>
            <w:shd w:val="clear" w:color="auto" w:fill="00B0F0"/>
          </w:tcPr>
          <w:p w14:paraId="51BAF319" w14:textId="77777777" w:rsidR="00F57CF9" w:rsidRPr="00F57CF9" w:rsidRDefault="00F57CF9" w:rsidP="00FF4E03">
            <w:pPr>
              <w:spacing w:before="0"/>
              <w:jc w:val="center"/>
              <w:rPr>
                <w:b/>
                <w:bCs/>
              </w:rPr>
            </w:pPr>
            <w:r w:rsidRPr="00F57CF9">
              <w:rPr>
                <w:b/>
                <w:bCs/>
              </w:rPr>
              <w:t>Strategy</w:t>
            </w:r>
          </w:p>
        </w:tc>
        <w:tc>
          <w:tcPr>
            <w:tcW w:w="2790" w:type="dxa"/>
            <w:shd w:val="clear" w:color="auto" w:fill="00B0F0"/>
          </w:tcPr>
          <w:p w14:paraId="0C0CF2BB" w14:textId="77777777" w:rsidR="00F57CF9" w:rsidRPr="00F57CF9" w:rsidRDefault="00F57CF9" w:rsidP="00FF4E03">
            <w:pPr>
              <w:spacing w:before="0"/>
              <w:jc w:val="center"/>
              <w:rPr>
                <w:b/>
                <w:bCs/>
              </w:rPr>
            </w:pPr>
            <w:r w:rsidRPr="00F57CF9">
              <w:rPr>
                <w:b/>
                <w:bCs/>
              </w:rPr>
              <w:t>Outcome</w:t>
            </w:r>
          </w:p>
          <w:p w14:paraId="67C8B1F1" w14:textId="77777777" w:rsidR="00F57CF9" w:rsidRPr="00F57CF9" w:rsidRDefault="00F57CF9" w:rsidP="00FF4E03">
            <w:pPr>
              <w:pStyle w:val="Default"/>
              <w:rPr>
                <w:b/>
                <w:bCs/>
              </w:rPr>
            </w:pPr>
          </w:p>
        </w:tc>
        <w:tc>
          <w:tcPr>
            <w:tcW w:w="2790" w:type="dxa"/>
            <w:shd w:val="clear" w:color="auto" w:fill="00B0F0"/>
          </w:tcPr>
          <w:p w14:paraId="195F6BBB" w14:textId="77777777" w:rsidR="00F57CF9" w:rsidRPr="00F57CF9" w:rsidRDefault="00F57CF9" w:rsidP="00FF4E03">
            <w:pPr>
              <w:spacing w:before="0"/>
              <w:jc w:val="center"/>
              <w:rPr>
                <w:b/>
                <w:bCs/>
              </w:rPr>
            </w:pPr>
            <w:r w:rsidRPr="00F57CF9">
              <w:rPr>
                <w:b/>
                <w:bCs/>
              </w:rPr>
              <w:t>Timeframe</w:t>
            </w:r>
          </w:p>
        </w:tc>
        <w:tc>
          <w:tcPr>
            <w:tcW w:w="2790" w:type="dxa"/>
            <w:shd w:val="clear" w:color="auto" w:fill="00B0F0"/>
          </w:tcPr>
          <w:p w14:paraId="7CB49E1A" w14:textId="77777777" w:rsidR="00F57CF9" w:rsidRPr="00F57CF9" w:rsidRDefault="00F57CF9" w:rsidP="00FF4E03">
            <w:pPr>
              <w:spacing w:before="0"/>
              <w:jc w:val="center"/>
              <w:rPr>
                <w:b/>
                <w:bCs/>
              </w:rPr>
            </w:pPr>
            <w:r w:rsidRPr="00F57CF9">
              <w:rPr>
                <w:b/>
                <w:bCs/>
              </w:rPr>
              <w:t>Achievement</w:t>
            </w:r>
          </w:p>
        </w:tc>
      </w:tr>
      <w:tr w:rsidR="00F57CF9" w14:paraId="2EBCF0FD" w14:textId="77777777" w:rsidTr="00FF4E03">
        <w:tc>
          <w:tcPr>
            <w:tcW w:w="2789" w:type="dxa"/>
          </w:tcPr>
          <w:p w14:paraId="14642C29" w14:textId="677CB664" w:rsidR="00F57CF9" w:rsidRPr="00664758" w:rsidRDefault="00F57CF9" w:rsidP="00664758">
            <w:pPr>
              <w:spacing w:before="0"/>
              <w:jc w:val="left"/>
            </w:pPr>
            <w:r w:rsidRPr="00664758">
              <w:t>To improve access for any VI pupils</w:t>
            </w:r>
          </w:p>
        </w:tc>
        <w:tc>
          <w:tcPr>
            <w:tcW w:w="2789" w:type="dxa"/>
          </w:tcPr>
          <w:p w14:paraId="20691A75" w14:textId="77777777" w:rsidR="00F57CF9" w:rsidRPr="00664758" w:rsidRDefault="00F57CF9" w:rsidP="00664758">
            <w:pPr>
              <w:spacing w:before="0"/>
              <w:jc w:val="left"/>
            </w:pPr>
            <w:r w:rsidRPr="00664758">
              <w:t>Regular upkeep of areas already highlighted in contrasting paint.</w:t>
            </w:r>
          </w:p>
          <w:p w14:paraId="61FECCCD" w14:textId="4A7D322E" w:rsidR="00F57CF9" w:rsidRPr="00664758" w:rsidRDefault="00F57CF9" w:rsidP="00664758">
            <w:pPr>
              <w:pStyle w:val="Default"/>
              <w:spacing w:before="0"/>
              <w:ind w:left="0" w:firstLine="0"/>
              <w:jc w:val="left"/>
              <w:rPr>
                <w:sz w:val="22"/>
                <w:szCs w:val="22"/>
              </w:rPr>
            </w:pPr>
            <w:r w:rsidRPr="00664758">
              <w:rPr>
                <w:sz w:val="22"/>
                <w:szCs w:val="22"/>
              </w:rPr>
              <w:t>Changes to existing landscaping on playground to be risk assessed and modifications made where necessary</w:t>
            </w:r>
          </w:p>
        </w:tc>
        <w:tc>
          <w:tcPr>
            <w:tcW w:w="2790" w:type="dxa"/>
          </w:tcPr>
          <w:p w14:paraId="0703BF40" w14:textId="39AC6F06" w:rsidR="00F57CF9" w:rsidRPr="00664758" w:rsidRDefault="00F57CF9" w:rsidP="00664758">
            <w:pPr>
              <w:spacing w:before="0"/>
              <w:jc w:val="left"/>
            </w:pPr>
            <w:r w:rsidRPr="00664758">
              <w:t>Safer access for VI on the playground and around the exterior of the site</w:t>
            </w:r>
          </w:p>
        </w:tc>
        <w:tc>
          <w:tcPr>
            <w:tcW w:w="2790" w:type="dxa"/>
          </w:tcPr>
          <w:p w14:paraId="35CCA782" w14:textId="082D33AF" w:rsidR="00F57CF9" w:rsidRPr="00664758" w:rsidRDefault="00F57CF9" w:rsidP="00664758">
            <w:pPr>
              <w:spacing w:before="0"/>
              <w:jc w:val="left"/>
            </w:pPr>
            <w:r w:rsidRPr="00664758">
              <w:t>Summer 2023</w:t>
            </w:r>
          </w:p>
        </w:tc>
        <w:tc>
          <w:tcPr>
            <w:tcW w:w="2790" w:type="dxa"/>
          </w:tcPr>
          <w:p w14:paraId="0742F4FB" w14:textId="22D664A8" w:rsidR="00F57CF9" w:rsidRPr="00664758" w:rsidRDefault="00F57CF9" w:rsidP="00664758">
            <w:pPr>
              <w:spacing w:before="0"/>
              <w:jc w:val="left"/>
            </w:pPr>
            <w:r w:rsidRPr="00664758">
              <w:t>Playground provides safe environment for the VI.</w:t>
            </w:r>
          </w:p>
        </w:tc>
      </w:tr>
      <w:tr w:rsidR="00F57CF9" w14:paraId="7BE4752E" w14:textId="77777777" w:rsidTr="00FF4E03">
        <w:tc>
          <w:tcPr>
            <w:tcW w:w="2789" w:type="dxa"/>
          </w:tcPr>
          <w:p w14:paraId="2175EF68" w14:textId="4729593E" w:rsidR="00F57CF9" w:rsidRPr="00664758" w:rsidRDefault="00F57CF9" w:rsidP="00664758">
            <w:pPr>
              <w:spacing w:before="0"/>
              <w:jc w:val="left"/>
            </w:pPr>
            <w:r w:rsidRPr="00664758">
              <w:t>To improve access for pupils who have mobility issues and may need a wheelchair</w:t>
            </w:r>
          </w:p>
        </w:tc>
        <w:tc>
          <w:tcPr>
            <w:tcW w:w="2789" w:type="dxa"/>
          </w:tcPr>
          <w:p w14:paraId="446E25EC" w14:textId="4ADA58FC" w:rsidR="00F57CF9" w:rsidRPr="00664758" w:rsidRDefault="00F57CF9" w:rsidP="00664758">
            <w:pPr>
              <w:spacing w:before="0"/>
              <w:jc w:val="left"/>
            </w:pPr>
            <w:r w:rsidRPr="00664758">
              <w:t>General maintenance of paths around school</w:t>
            </w:r>
          </w:p>
        </w:tc>
        <w:tc>
          <w:tcPr>
            <w:tcW w:w="2790" w:type="dxa"/>
          </w:tcPr>
          <w:p w14:paraId="50B1B0F7" w14:textId="6DD5DACE" w:rsidR="00F57CF9" w:rsidRPr="00664758" w:rsidRDefault="00F57CF9" w:rsidP="00664758">
            <w:pPr>
              <w:spacing w:before="0"/>
              <w:jc w:val="left"/>
            </w:pPr>
            <w:r w:rsidRPr="00664758">
              <w:t>Improved access and increased safety of VI and Wheelchair access</w:t>
            </w:r>
          </w:p>
        </w:tc>
        <w:tc>
          <w:tcPr>
            <w:tcW w:w="2790" w:type="dxa"/>
          </w:tcPr>
          <w:p w14:paraId="4BDED297" w14:textId="6DA69153" w:rsidR="00F57CF9" w:rsidRPr="00664758" w:rsidRDefault="00F57CF9" w:rsidP="00664758">
            <w:pPr>
              <w:spacing w:before="0"/>
              <w:jc w:val="left"/>
            </w:pPr>
            <w:r w:rsidRPr="00664758">
              <w:t>Ongoing – use of leaf blower in Autumn</w:t>
            </w:r>
          </w:p>
        </w:tc>
        <w:tc>
          <w:tcPr>
            <w:tcW w:w="2790" w:type="dxa"/>
          </w:tcPr>
          <w:p w14:paraId="3E41C30C" w14:textId="39AA2A47" w:rsidR="00F57CF9" w:rsidRPr="00664758" w:rsidRDefault="00F57CF9" w:rsidP="00664758">
            <w:pPr>
              <w:spacing w:before="0"/>
              <w:jc w:val="left"/>
            </w:pPr>
            <w:r w:rsidRPr="00664758">
              <w:t>Improved access and safety for children and adults when access the playground areas.</w:t>
            </w:r>
          </w:p>
        </w:tc>
      </w:tr>
      <w:tr w:rsidR="00F57CF9" w14:paraId="2F5318F1" w14:textId="77777777" w:rsidTr="00FF4E03">
        <w:tc>
          <w:tcPr>
            <w:tcW w:w="2789" w:type="dxa"/>
          </w:tcPr>
          <w:p w14:paraId="06704D0A" w14:textId="51B75EEE" w:rsidR="00F57CF9" w:rsidRPr="00664758" w:rsidRDefault="00F57CF9" w:rsidP="00664758">
            <w:pPr>
              <w:spacing w:before="0"/>
              <w:jc w:val="left"/>
            </w:pPr>
            <w:r w:rsidRPr="00664758">
              <w:t>Ensure classrooms are safe for pupils with VI</w:t>
            </w:r>
          </w:p>
        </w:tc>
        <w:tc>
          <w:tcPr>
            <w:tcW w:w="2789" w:type="dxa"/>
          </w:tcPr>
          <w:p w14:paraId="1D483EB1" w14:textId="55362979" w:rsidR="00F57CF9" w:rsidRPr="00664758" w:rsidRDefault="00F57CF9" w:rsidP="00664758">
            <w:pPr>
              <w:spacing w:before="0"/>
              <w:jc w:val="left"/>
            </w:pPr>
            <w:r w:rsidRPr="00664758">
              <w:t>Risk assessments to be carried out by the VI and Caseworker teams and necessary adjustments made</w:t>
            </w:r>
          </w:p>
        </w:tc>
        <w:tc>
          <w:tcPr>
            <w:tcW w:w="2790" w:type="dxa"/>
          </w:tcPr>
          <w:p w14:paraId="7799DFC5" w14:textId="0D7BA03C" w:rsidR="00F57CF9" w:rsidRPr="00664758" w:rsidRDefault="00F57CF9" w:rsidP="00664758">
            <w:pPr>
              <w:spacing w:before="0"/>
              <w:jc w:val="left"/>
            </w:pPr>
            <w:r w:rsidRPr="00664758">
              <w:t>VI and pupils with mobility issues able to access the classrooms safely</w:t>
            </w:r>
          </w:p>
        </w:tc>
        <w:tc>
          <w:tcPr>
            <w:tcW w:w="2790" w:type="dxa"/>
          </w:tcPr>
          <w:p w14:paraId="652A6FBE" w14:textId="20F932BD" w:rsidR="00664758" w:rsidRPr="00664758" w:rsidRDefault="00664758" w:rsidP="00664758">
            <w:pPr>
              <w:pStyle w:val="Default"/>
              <w:spacing w:before="0"/>
              <w:ind w:left="0" w:firstLine="0"/>
              <w:jc w:val="left"/>
              <w:rPr>
                <w:sz w:val="22"/>
                <w:szCs w:val="22"/>
              </w:rPr>
            </w:pPr>
            <w:r>
              <w:rPr>
                <w:sz w:val="22"/>
                <w:szCs w:val="22"/>
              </w:rPr>
              <w:t>Review annually when pupils move classrooms and new intakes</w:t>
            </w:r>
          </w:p>
        </w:tc>
        <w:tc>
          <w:tcPr>
            <w:tcW w:w="2790" w:type="dxa"/>
          </w:tcPr>
          <w:p w14:paraId="280DAA83" w14:textId="3C7FCE59" w:rsidR="00F57CF9" w:rsidRPr="00664758" w:rsidRDefault="00664758" w:rsidP="00664758">
            <w:pPr>
              <w:spacing w:before="0"/>
              <w:jc w:val="left"/>
            </w:pPr>
            <w:r>
              <w:t>All pupils will learn in a safe environment</w:t>
            </w:r>
          </w:p>
        </w:tc>
      </w:tr>
    </w:tbl>
    <w:p w14:paraId="320587DE" w14:textId="0F2E19F5" w:rsidR="00F57CF9" w:rsidRDefault="00F57CF9" w:rsidP="00191992">
      <w:pPr>
        <w:pStyle w:val="Default"/>
        <w:spacing w:before="0"/>
        <w:ind w:left="0" w:firstLine="0"/>
        <w:contextualSpacing/>
        <w:jc w:val="left"/>
      </w:pPr>
    </w:p>
    <w:p w14:paraId="76A67F07" w14:textId="6C642421" w:rsidR="00664758" w:rsidRDefault="00664758" w:rsidP="00191992">
      <w:pPr>
        <w:pStyle w:val="Default"/>
        <w:spacing w:before="0"/>
        <w:ind w:left="0" w:firstLine="0"/>
        <w:contextualSpacing/>
        <w:jc w:val="left"/>
      </w:pPr>
    </w:p>
    <w:p w14:paraId="58CAF81A" w14:textId="7D9CEFDB" w:rsidR="00664758" w:rsidRDefault="00664758" w:rsidP="00191992">
      <w:pPr>
        <w:pStyle w:val="Default"/>
        <w:spacing w:before="0"/>
        <w:ind w:left="0" w:firstLine="0"/>
        <w:contextualSpacing/>
        <w:jc w:val="left"/>
      </w:pPr>
    </w:p>
    <w:p w14:paraId="08AAB2C7" w14:textId="1799267B" w:rsidR="00664758" w:rsidRDefault="00664758" w:rsidP="00191992">
      <w:pPr>
        <w:pStyle w:val="Default"/>
        <w:spacing w:before="0"/>
        <w:ind w:left="0" w:firstLine="0"/>
        <w:contextualSpacing/>
        <w:jc w:val="left"/>
      </w:pPr>
    </w:p>
    <w:p w14:paraId="6965FA46" w14:textId="083F351C" w:rsidR="00664758" w:rsidRDefault="00664758" w:rsidP="00191992">
      <w:pPr>
        <w:pStyle w:val="Default"/>
        <w:spacing w:before="0"/>
        <w:ind w:left="0" w:firstLine="0"/>
        <w:contextualSpacing/>
        <w:jc w:val="left"/>
      </w:pPr>
    </w:p>
    <w:p w14:paraId="7BE5394D" w14:textId="23D43FC7" w:rsidR="00664758" w:rsidRDefault="00664758" w:rsidP="00191992">
      <w:pPr>
        <w:pStyle w:val="Default"/>
        <w:spacing w:before="0"/>
        <w:ind w:left="0" w:firstLine="0"/>
        <w:contextualSpacing/>
        <w:jc w:val="left"/>
      </w:pPr>
    </w:p>
    <w:p w14:paraId="209F7210" w14:textId="1FE78F34" w:rsidR="00664758" w:rsidRDefault="00664758" w:rsidP="00191992">
      <w:pPr>
        <w:pStyle w:val="Default"/>
        <w:spacing w:before="0"/>
        <w:ind w:left="0" w:firstLine="0"/>
        <w:contextualSpacing/>
        <w:jc w:val="left"/>
      </w:pPr>
    </w:p>
    <w:p w14:paraId="116D8AFF" w14:textId="327A0898" w:rsidR="00664758" w:rsidRDefault="00664758" w:rsidP="00191992">
      <w:pPr>
        <w:pStyle w:val="Default"/>
        <w:spacing w:before="0"/>
        <w:ind w:left="0" w:firstLine="0"/>
        <w:contextualSpacing/>
        <w:jc w:val="left"/>
      </w:pPr>
    </w:p>
    <w:p w14:paraId="0EA86C4A" w14:textId="77777777" w:rsidR="00664758" w:rsidRDefault="00664758" w:rsidP="00191992">
      <w:pPr>
        <w:pStyle w:val="Default"/>
        <w:spacing w:before="0"/>
        <w:ind w:left="0" w:firstLine="0"/>
        <w:contextualSpacing/>
        <w:jc w:val="left"/>
      </w:pPr>
    </w:p>
    <w:tbl>
      <w:tblPr>
        <w:tblStyle w:val="TableGrid"/>
        <w:tblW w:w="0" w:type="auto"/>
        <w:tblLook w:val="04A0" w:firstRow="1" w:lastRow="0" w:firstColumn="1" w:lastColumn="0" w:noHBand="0" w:noVBand="1"/>
      </w:tblPr>
      <w:tblGrid>
        <w:gridCol w:w="2789"/>
        <w:gridCol w:w="2789"/>
        <w:gridCol w:w="2790"/>
        <w:gridCol w:w="2790"/>
        <w:gridCol w:w="2790"/>
      </w:tblGrid>
      <w:tr w:rsidR="00664758" w14:paraId="6751D025" w14:textId="77777777" w:rsidTr="00FF4E03">
        <w:tc>
          <w:tcPr>
            <w:tcW w:w="13948" w:type="dxa"/>
            <w:gridSpan w:val="5"/>
            <w:shd w:val="clear" w:color="auto" w:fill="FFE269" w:themeFill="accent5" w:themeFillTint="99"/>
          </w:tcPr>
          <w:p w14:paraId="09C702DE" w14:textId="06BE35AF" w:rsidR="00664758" w:rsidRPr="00F57CF9" w:rsidRDefault="00664758" w:rsidP="00FF4E03">
            <w:pPr>
              <w:spacing w:before="0"/>
              <w:jc w:val="center"/>
              <w:rPr>
                <w:b/>
                <w:bCs/>
                <w:sz w:val="40"/>
                <w:szCs w:val="40"/>
              </w:rPr>
            </w:pPr>
            <w:r w:rsidRPr="00F57CF9">
              <w:rPr>
                <w:b/>
                <w:bCs/>
                <w:sz w:val="40"/>
                <w:szCs w:val="40"/>
              </w:rPr>
              <w:lastRenderedPageBreak/>
              <w:t xml:space="preserve">Improving </w:t>
            </w:r>
            <w:r>
              <w:rPr>
                <w:b/>
                <w:bCs/>
                <w:sz w:val="40"/>
                <w:szCs w:val="40"/>
              </w:rPr>
              <w:t>Communication of Information</w:t>
            </w:r>
          </w:p>
          <w:p w14:paraId="32C5BF8A" w14:textId="77777777" w:rsidR="00664758" w:rsidRPr="00F57CF9" w:rsidRDefault="00664758" w:rsidP="00FF4E03">
            <w:pPr>
              <w:pStyle w:val="Default"/>
              <w:rPr>
                <w:b/>
                <w:bCs/>
              </w:rPr>
            </w:pPr>
          </w:p>
        </w:tc>
      </w:tr>
      <w:tr w:rsidR="00664758" w14:paraId="00BF785D" w14:textId="77777777" w:rsidTr="00FF4E03">
        <w:tc>
          <w:tcPr>
            <w:tcW w:w="2789" w:type="dxa"/>
            <w:shd w:val="clear" w:color="auto" w:fill="00B0F0"/>
          </w:tcPr>
          <w:p w14:paraId="48AB126D" w14:textId="77777777" w:rsidR="00664758" w:rsidRPr="00F57CF9" w:rsidRDefault="00664758" w:rsidP="00FF4E03">
            <w:pPr>
              <w:spacing w:before="0"/>
              <w:jc w:val="center"/>
              <w:rPr>
                <w:b/>
                <w:bCs/>
              </w:rPr>
            </w:pPr>
            <w:r w:rsidRPr="00F57CF9">
              <w:rPr>
                <w:b/>
                <w:bCs/>
              </w:rPr>
              <w:t>Target</w:t>
            </w:r>
          </w:p>
        </w:tc>
        <w:tc>
          <w:tcPr>
            <w:tcW w:w="2789" w:type="dxa"/>
            <w:shd w:val="clear" w:color="auto" w:fill="00B0F0"/>
          </w:tcPr>
          <w:p w14:paraId="65EECA85" w14:textId="77777777" w:rsidR="00664758" w:rsidRPr="00F57CF9" w:rsidRDefault="00664758" w:rsidP="00FF4E03">
            <w:pPr>
              <w:spacing w:before="0"/>
              <w:jc w:val="center"/>
              <w:rPr>
                <w:b/>
                <w:bCs/>
              </w:rPr>
            </w:pPr>
            <w:r w:rsidRPr="00F57CF9">
              <w:rPr>
                <w:b/>
                <w:bCs/>
              </w:rPr>
              <w:t>Strategy</w:t>
            </w:r>
          </w:p>
        </w:tc>
        <w:tc>
          <w:tcPr>
            <w:tcW w:w="2790" w:type="dxa"/>
            <w:shd w:val="clear" w:color="auto" w:fill="00B0F0"/>
          </w:tcPr>
          <w:p w14:paraId="14DC31E0" w14:textId="77777777" w:rsidR="00664758" w:rsidRPr="00F57CF9" w:rsidRDefault="00664758" w:rsidP="00FF4E03">
            <w:pPr>
              <w:spacing w:before="0"/>
              <w:jc w:val="center"/>
              <w:rPr>
                <w:b/>
                <w:bCs/>
              </w:rPr>
            </w:pPr>
            <w:r w:rsidRPr="00F57CF9">
              <w:rPr>
                <w:b/>
                <w:bCs/>
              </w:rPr>
              <w:t>Outcome</w:t>
            </w:r>
          </w:p>
          <w:p w14:paraId="5E7224E2" w14:textId="77777777" w:rsidR="00664758" w:rsidRPr="00F57CF9" w:rsidRDefault="00664758" w:rsidP="00FF4E03">
            <w:pPr>
              <w:pStyle w:val="Default"/>
              <w:rPr>
                <w:b/>
                <w:bCs/>
              </w:rPr>
            </w:pPr>
          </w:p>
        </w:tc>
        <w:tc>
          <w:tcPr>
            <w:tcW w:w="2790" w:type="dxa"/>
            <w:shd w:val="clear" w:color="auto" w:fill="00B0F0"/>
          </w:tcPr>
          <w:p w14:paraId="5BFDC904" w14:textId="77777777" w:rsidR="00664758" w:rsidRPr="00F57CF9" w:rsidRDefault="00664758" w:rsidP="00FF4E03">
            <w:pPr>
              <w:spacing w:before="0"/>
              <w:jc w:val="center"/>
              <w:rPr>
                <w:b/>
                <w:bCs/>
              </w:rPr>
            </w:pPr>
            <w:r w:rsidRPr="00F57CF9">
              <w:rPr>
                <w:b/>
                <w:bCs/>
              </w:rPr>
              <w:t>Timeframe</w:t>
            </w:r>
          </w:p>
        </w:tc>
        <w:tc>
          <w:tcPr>
            <w:tcW w:w="2790" w:type="dxa"/>
            <w:shd w:val="clear" w:color="auto" w:fill="00B0F0"/>
          </w:tcPr>
          <w:p w14:paraId="32159344" w14:textId="77777777" w:rsidR="00664758" w:rsidRPr="00F57CF9" w:rsidRDefault="00664758" w:rsidP="00FF4E03">
            <w:pPr>
              <w:spacing w:before="0"/>
              <w:jc w:val="center"/>
              <w:rPr>
                <w:b/>
                <w:bCs/>
              </w:rPr>
            </w:pPr>
            <w:r w:rsidRPr="00F57CF9">
              <w:rPr>
                <w:b/>
                <w:bCs/>
              </w:rPr>
              <w:t>Achievement</w:t>
            </w:r>
          </w:p>
        </w:tc>
      </w:tr>
      <w:tr w:rsidR="00664758" w14:paraId="2AE19245" w14:textId="77777777" w:rsidTr="00FF4E03">
        <w:tc>
          <w:tcPr>
            <w:tcW w:w="2789" w:type="dxa"/>
          </w:tcPr>
          <w:p w14:paraId="4C794766" w14:textId="79EF4397" w:rsidR="00664758" w:rsidRPr="00664758" w:rsidRDefault="00664758" w:rsidP="00FF4E03">
            <w:pPr>
              <w:spacing w:before="0"/>
              <w:jc w:val="left"/>
            </w:pPr>
            <w:r>
              <w:t>Availability of written material in alternative formats</w:t>
            </w:r>
          </w:p>
        </w:tc>
        <w:tc>
          <w:tcPr>
            <w:tcW w:w="2789" w:type="dxa"/>
          </w:tcPr>
          <w:p w14:paraId="3050993B" w14:textId="54AF9E45" w:rsidR="00664758" w:rsidRPr="00664758" w:rsidRDefault="00664758" w:rsidP="00FF4E03">
            <w:pPr>
              <w:pStyle w:val="Default"/>
              <w:spacing w:before="0"/>
              <w:ind w:left="0" w:firstLine="0"/>
              <w:jc w:val="left"/>
              <w:rPr>
                <w:sz w:val="22"/>
                <w:szCs w:val="22"/>
              </w:rPr>
            </w:pPr>
            <w:r>
              <w:rPr>
                <w:sz w:val="22"/>
                <w:szCs w:val="22"/>
              </w:rPr>
              <w:t>The school will make itself aware of the services available through the LA for converting written information into alternative formats where necessary</w:t>
            </w:r>
          </w:p>
        </w:tc>
        <w:tc>
          <w:tcPr>
            <w:tcW w:w="2790" w:type="dxa"/>
          </w:tcPr>
          <w:p w14:paraId="1F1348F9" w14:textId="4DA7E149" w:rsidR="00664758" w:rsidRPr="00664758" w:rsidRDefault="00664758" w:rsidP="00FF4E03">
            <w:pPr>
              <w:spacing w:before="0"/>
              <w:jc w:val="left"/>
            </w:pPr>
            <w:r>
              <w:t>The school will be able to provide written information in different formats when required for individual purposes</w:t>
            </w:r>
          </w:p>
        </w:tc>
        <w:tc>
          <w:tcPr>
            <w:tcW w:w="2790" w:type="dxa"/>
          </w:tcPr>
          <w:p w14:paraId="41E33872" w14:textId="3A57C7F8" w:rsidR="00664758" w:rsidRPr="00664758" w:rsidRDefault="00664758" w:rsidP="00FF4E03">
            <w:pPr>
              <w:spacing w:before="0"/>
              <w:jc w:val="left"/>
            </w:pPr>
            <w:r>
              <w:t>As and when required</w:t>
            </w:r>
          </w:p>
        </w:tc>
        <w:tc>
          <w:tcPr>
            <w:tcW w:w="2790" w:type="dxa"/>
          </w:tcPr>
          <w:p w14:paraId="44F94BE6" w14:textId="3C613647" w:rsidR="00664758" w:rsidRPr="00664758" w:rsidRDefault="00664758" w:rsidP="00FF4E03">
            <w:pPr>
              <w:spacing w:before="0"/>
              <w:jc w:val="left"/>
            </w:pPr>
            <w:r>
              <w:t>Delivery of information to pupils and parents with difficulties improved</w:t>
            </w:r>
          </w:p>
        </w:tc>
      </w:tr>
      <w:tr w:rsidR="00664758" w14:paraId="2A214E24" w14:textId="77777777" w:rsidTr="00FF4E03">
        <w:tc>
          <w:tcPr>
            <w:tcW w:w="2789" w:type="dxa"/>
          </w:tcPr>
          <w:p w14:paraId="2AB52122" w14:textId="4AE59E95" w:rsidR="00664758" w:rsidRPr="00664758" w:rsidRDefault="00664758" w:rsidP="00FF4E03">
            <w:pPr>
              <w:spacing w:before="0"/>
              <w:jc w:val="left"/>
            </w:pPr>
            <w:r>
              <w:t>Improve the flexibility and efficiency of communication to parents (and wider community) and ease of use of mobile/tablet to access both the app and website</w:t>
            </w:r>
          </w:p>
        </w:tc>
        <w:tc>
          <w:tcPr>
            <w:tcW w:w="2789" w:type="dxa"/>
          </w:tcPr>
          <w:p w14:paraId="01C4D472" w14:textId="3DFD5A72" w:rsidR="00664758" w:rsidRPr="00664758" w:rsidRDefault="00664758" w:rsidP="00FF4E03">
            <w:pPr>
              <w:spacing w:before="0"/>
              <w:jc w:val="left"/>
            </w:pPr>
            <w:r>
              <w:t xml:space="preserve">Continue to use school spider </w:t>
            </w:r>
            <w:r w:rsidR="00AA3DF6">
              <w:t>as well as the ability for parents to inform school of absence and medical appointments and consents</w:t>
            </w:r>
          </w:p>
        </w:tc>
        <w:tc>
          <w:tcPr>
            <w:tcW w:w="2790" w:type="dxa"/>
          </w:tcPr>
          <w:p w14:paraId="7716CAA4" w14:textId="2774B618" w:rsidR="00664758" w:rsidRPr="00664758" w:rsidRDefault="00AA3DF6" w:rsidP="00FF4E03">
            <w:pPr>
              <w:spacing w:before="0"/>
              <w:jc w:val="left"/>
            </w:pPr>
            <w:r>
              <w:t>Parents and wider family members have greater awareness of school news/events</w:t>
            </w:r>
          </w:p>
        </w:tc>
        <w:tc>
          <w:tcPr>
            <w:tcW w:w="2790" w:type="dxa"/>
          </w:tcPr>
          <w:p w14:paraId="4068DC62" w14:textId="2A4B3918" w:rsidR="00664758" w:rsidRPr="00664758" w:rsidRDefault="00AA3DF6" w:rsidP="00FF4E03">
            <w:pPr>
              <w:spacing w:before="0"/>
              <w:jc w:val="left"/>
            </w:pPr>
            <w:r>
              <w:t>Review annually</w:t>
            </w:r>
          </w:p>
        </w:tc>
        <w:tc>
          <w:tcPr>
            <w:tcW w:w="2790" w:type="dxa"/>
          </w:tcPr>
          <w:p w14:paraId="11DB6E40" w14:textId="38B0ABFE" w:rsidR="00664758" w:rsidRPr="00664758" w:rsidRDefault="00AA3DF6" w:rsidP="00FF4E03">
            <w:pPr>
              <w:spacing w:before="0"/>
              <w:jc w:val="left"/>
            </w:pPr>
            <w:r>
              <w:t>Delivery of information to wider community and possibility for parents unable to access school to message re- consents and/or absences</w:t>
            </w:r>
          </w:p>
        </w:tc>
      </w:tr>
      <w:tr w:rsidR="00664758" w14:paraId="24145707" w14:textId="77777777" w:rsidTr="00FF4E03">
        <w:tc>
          <w:tcPr>
            <w:tcW w:w="2789" w:type="dxa"/>
          </w:tcPr>
          <w:p w14:paraId="5ABF7A17" w14:textId="545AA4A3" w:rsidR="00664758" w:rsidRPr="00664758" w:rsidRDefault="00AA3DF6" w:rsidP="00FF4E03">
            <w:pPr>
              <w:spacing w:before="0"/>
              <w:jc w:val="left"/>
            </w:pPr>
            <w:r>
              <w:t>All parents able to pay fees online with no need to access school building</w:t>
            </w:r>
          </w:p>
        </w:tc>
        <w:tc>
          <w:tcPr>
            <w:tcW w:w="2789" w:type="dxa"/>
          </w:tcPr>
          <w:p w14:paraId="7EBBBB57" w14:textId="4278B0D8" w:rsidR="00664758" w:rsidRPr="00664758" w:rsidRDefault="00AA3DF6" w:rsidP="00FF4E03">
            <w:pPr>
              <w:spacing w:before="0"/>
              <w:jc w:val="left"/>
            </w:pPr>
            <w:r>
              <w:t>Online parent pay</w:t>
            </w:r>
          </w:p>
        </w:tc>
        <w:tc>
          <w:tcPr>
            <w:tcW w:w="2790" w:type="dxa"/>
          </w:tcPr>
          <w:p w14:paraId="030EE388" w14:textId="096B9695" w:rsidR="00664758" w:rsidRPr="00664758" w:rsidRDefault="00AA3DF6" w:rsidP="00FF4E03">
            <w:pPr>
              <w:spacing w:before="0"/>
              <w:jc w:val="left"/>
            </w:pPr>
            <w:r>
              <w:t>All parents, regardless of disability or issues with access can pay for the things at school online</w:t>
            </w:r>
          </w:p>
        </w:tc>
        <w:tc>
          <w:tcPr>
            <w:tcW w:w="2790" w:type="dxa"/>
          </w:tcPr>
          <w:p w14:paraId="6D3B93AC" w14:textId="682644AC" w:rsidR="00664758" w:rsidRPr="00664758" w:rsidRDefault="00AA3DF6" w:rsidP="00FF4E03">
            <w:pPr>
              <w:pStyle w:val="Default"/>
              <w:spacing w:before="0"/>
              <w:ind w:left="0" w:firstLine="0"/>
              <w:jc w:val="left"/>
              <w:rPr>
                <w:sz w:val="22"/>
                <w:szCs w:val="22"/>
              </w:rPr>
            </w:pPr>
            <w:r>
              <w:rPr>
                <w:sz w:val="22"/>
                <w:szCs w:val="22"/>
              </w:rPr>
              <w:t>Ongoing subscription</w:t>
            </w:r>
          </w:p>
        </w:tc>
        <w:tc>
          <w:tcPr>
            <w:tcW w:w="2790" w:type="dxa"/>
          </w:tcPr>
          <w:p w14:paraId="219D2154" w14:textId="775FD777" w:rsidR="00664758" w:rsidRPr="00664758" w:rsidRDefault="00AA3DF6" w:rsidP="00FF4E03">
            <w:pPr>
              <w:spacing w:before="0"/>
              <w:jc w:val="left"/>
            </w:pPr>
            <w:r>
              <w:t>Possibility for parents unable to access school to pay for school trips/dinners etc online.</w:t>
            </w:r>
          </w:p>
        </w:tc>
      </w:tr>
    </w:tbl>
    <w:p w14:paraId="3D087D98" w14:textId="3B5B7445" w:rsidR="00664758" w:rsidRDefault="00664758" w:rsidP="00191992">
      <w:pPr>
        <w:pStyle w:val="Default"/>
        <w:spacing w:before="0"/>
        <w:ind w:left="0" w:firstLine="0"/>
        <w:contextualSpacing/>
        <w:jc w:val="left"/>
      </w:pPr>
    </w:p>
    <w:p w14:paraId="3E8854E8" w14:textId="77777777" w:rsidR="00664758" w:rsidRDefault="00664758" w:rsidP="00191992">
      <w:pPr>
        <w:pStyle w:val="Default"/>
        <w:spacing w:before="0"/>
        <w:ind w:left="0" w:firstLine="0"/>
        <w:contextualSpacing/>
        <w:jc w:val="left"/>
      </w:pPr>
    </w:p>
    <w:sectPr w:rsidR="00664758" w:rsidSect="008331DD">
      <w:pgSz w:w="16838" w:h="11906" w:orient="landscape" w:code="9"/>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BBA8D" w14:textId="77777777" w:rsidR="003030CA" w:rsidRDefault="003030CA" w:rsidP="00AD4155">
      <w:r>
        <w:separator/>
      </w:r>
    </w:p>
  </w:endnote>
  <w:endnote w:type="continuationSeparator" w:id="0">
    <w:p w14:paraId="7459A32D" w14:textId="77777777" w:rsidR="003030CA" w:rsidRDefault="003030CA"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BF11E9D3-779B-409E-A514-AE1F6E0CA817}"/>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8A928" w14:textId="77777777" w:rsidR="003030CA" w:rsidRDefault="003030CA" w:rsidP="00AD4155">
      <w:r>
        <w:separator/>
      </w:r>
    </w:p>
  </w:footnote>
  <w:footnote w:type="continuationSeparator" w:id="0">
    <w:p w14:paraId="26610163" w14:textId="77777777" w:rsidR="003030CA" w:rsidRDefault="003030CA"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C7485" w14:textId="77777777" w:rsidR="0066668A" w:rsidRDefault="006666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E49C3" w14:textId="77777777" w:rsidR="0066668A" w:rsidRDefault="00666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83106"/>
    <w:multiLevelType w:val="hybridMultilevel"/>
    <w:tmpl w:val="FDA67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9F063EF"/>
    <w:multiLevelType w:val="hybridMultilevel"/>
    <w:tmpl w:val="2750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82FF0"/>
    <w:multiLevelType w:val="hybridMultilevel"/>
    <w:tmpl w:val="85D4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95C4C"/>
    <w:multiLevelType w:val="hybridMultilevel"/>
    <w:tmpl w:val="11BA9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215C7"/>
    <w:multiLevelType w:val="hybridMultilevel"/>
    <w:tmpl w:val="7666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D6AE8"/>
    <w:multiLevelType w:val="hybridMultilevel"/>
    <w:tmpl w:val="2472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97269"/>
    <w:multiLevelType w:val="hybridMultilevel"/>
    <w:tmpl w:val="F602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B7EF9"/>
    <w:multiLevelType w:val="hybridMultilevel"/>
    <w:tmpl w:val="B1F6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C51C64"/>
    <w:multiLevelType w:val="multilevel"/>
    <w:tmpl w:val="97E836EE"/>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40A57ED"/>
    <w:multiLevelType w:val="hybridMultilevel"/>
    <w:tmpl w:val="EBB2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7A38F8"/>
    <w:multiLevelType w:val="hybridMultilevel"/>
    <w:tmpl w:val="5D50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76500"/>
    <w:multiLevelType w:val="hybridMultilevel"/>
    <w:tmpl w:val="0AC2F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D424D"/>
    <w:multiLevelType w:val="hybridMultilevel"/>
    <w:tmpl w:val="83CA7AB2"/>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F72298"/>
    <w:multiLevelType w:val="hybridMultilevel"/>
    <w:tmpl w:val="CCD4616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5" w15:restartNumberingAfterBreak="0">
    <w:nsid w:val="31333137"/>
    <w:multiLevelType w:val="hybridMultilevel"/>
    <w:tmpl w:val="AF2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2A7F74"/>
    <w:multiLevelType w:val="hybridMultilevel"/>
    <w:tmpl w:val="C610D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92354A"/>
    <w:multiLevelType w:val="hybridMultilevel"/>
    <w:tmpl w:val="21F2C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432A93"/>
    <w:multiLevelType w:val="hybridMultilevel"/>
    <w:tmpl w:val="F388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F84CB7"/>
    <w:multiLevelType w:val="hybridMultilevel"/>
    <w:tmpl w:val="B17C979C"/>
    <w:lvl w:ilvl="0" w:tplc="B5A651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CC14E1"/>
    <w:multiLevelType w:val="hybridMultilevel"/>
    <w:tmpl w:val="4B9E7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98590D"/>
    <w:multiLevelType w:val="hybridMultilevel"/>
    <w:tmpl w:val="257E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8C22A1"/>
    <w:multiLevelType w:val="multilevel"/>
    <w:tmpl w:val="7C621AEA"/>
    <w:numStyleLink w:val="Style1"/>
  </w:abstractNum>
  <w:abstractNum w:abstractNumId="23" w15:restartNumberingAfterBreak="0">
    <w:nsid w:val="440E025C"/>
    <w:multiLevelType w:val="hybridMultilevel"/>
    <w:tmpl w:val="3EEE89F8"/>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7527BC"/>
    <w:multiLevelType w:val="hybridMultilevel"/>
    <w:tmpl w:val="22A0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FA353C"/>
    <w:multiLevelType w:val="hybridMultilevel"/>
    <w:tmpl w:val="E198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A11C6D"/>
    <w:multiLevelType w:val="hybridMultilevel"/>
    <w:tmpl w:val="5E1C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CD7DF5"/>
    <w:multiLevelType w:val="hybridMultilevel"/>
    <w:tmpl w:val="F39C558C"/>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7A63EB"/>
    <w:multiLevelType w:val="hybridMultilevel"/>
    <w:tmpl w:val="E228A468"/>
    <w:lvl w:ilvl="0" w:tplc="9B769940">
      <w:start w:val="1"/>
      <w:numFmt w:val="bullet"/>
      <w:pStyle w:val="PolicyBullets"/>
      <w:lvlText w:val=""/>
      <w:lvlJc w:val="left"/>
      <w:pPr>
        <w:ind w:left="1925" w:hanging="360"/>
      </w:pPr>
      <w:rPr>
        <w:rFonts w:ascii="Symbol" w:hAnsi="Symbol" w:hint="default"/>
        <w:color w:val="auto"/>
      </w:rPr>
    </w:lvl>
    <w:lvl w:ilvl="1" w:tplc="08090003">
      <w:start w:val="1"/>
      <w:numFmt w:val="bullet"/>
      <w:lvlText w:val="o"/>
      <w:lvlJc w:val="left"/>
      <w:pPr>
        <w:ind w:left="2911"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30" w15:restartNumberingAfterBreak="0">
    <w:nsid w:val="57E075B3"/>
    <w:multiLevelType w:val="hybridMultilevel"/>
    <w:tmpl w:val="7900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450EB5"/>
    <w:multiLevelType w:val="hybridMultilevel"/>
    <w:tmpl w:val="AA90C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313A35"/>
    <w:multiLevelType w:val="hybridMultilevel"/>
    <w:tmpl w:val="8522C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A57B9F"/>
    <w:multiLevelType w:val="multilevel"/>
    <w:tmpl w:val="48B4B336"/>
    <w:lvl w:ilvl="0">
      <w:start w:val="1"/>
      <w:numFmt w:val="decimal"/>
      <w:pStyle w:val="Heading10"/>
      <w:lvlText w:val="%1."/>
      <w:lvlJc w:val="left"/>
      <w:pPr>
        <w:ind w:left="432" w:hanging="432"/>
      </w:pPr>
      <w:rPr>
        <w:rFonts w:hint="default"/>
      </w:rPr>
    </w:lvl>
    <w:lvl w:ilvl="1">
      <w:start w:val="1"/>
      <w:numFmt w:val="decimal"/>
      <w:pStyle w:val="Heading2"/>
      <w:lvlText w:val="%1.%2"/>
      <w:lvlJc w:val="center"/>
      <w:pPr>
        <w:ind w:left="449" w:hanging="449"/>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4" w15:restartNumberingAfterBreak="0">
    <w:nsid w:val="73CB1307"/>
    <w:multiLevelType w:val="multilevel"/>
    <w:tmpl w:val="43DE18F2"/>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BCD2D16"/>
    <w:multiLevelType w:val="hybridMultilevel"/>
    <w:tmpl w:val="BD6A1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085EB3"/>
    <w:multiLevelType w:val="hybridMultilevel"/>
    <w:tmpl w:val="6156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107BB7"/>
    <w:multiLevelType w:val="hybridMultilevel"/>
    <w:tmpl w:val="CB925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3"/>
  </w:num>
  <w:num w:numId="2">
    <w:abstractNumId w:val="27"/>
  </w:num>
  <w:num w:numId="3">
    <w:abstractNumId w:val="22"/>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1"/>
  </w:num>
  <w:num w:numId="5">
    <w:abstractNumId w:val="29"/>
  </w:num>
  <w:num w:numId="6">
    <w:abstractNumId w:val="34"/>
  </w:num>
  <w:num w:numId="7">
    <w:abstractNumId w:val="9"/>
  </w:num>
  <w:num w:numId="8">
    <w:abstractNumId w:val="35"/>
  </w:num>
  <w:num w:numId="9">
    <w:abstractNumId w:val="31"/>
  </w:num>
  <w:num w:numId="10">
    <w:abstractNumId w:val="17"/>
  </w:num>
  <w:num w:numId="11">
    <w:abstractNumId w:val="6"/>
  </w:num>
  <w:num w:numId="12">
    <w:abstractNumId w:val="8"/>
  </w:num>
  <w:num w:numId="13">
    <w:abstractNumId w:val="0"/>
  </w:num>
  <w:num w:numId="14">
    <w:abstractNumId w:val="20"/>
  </w:num>
  <w:num w:numId="15">
    <w:abstractNumId w:val="25"/>
  </w:num>
  <w:num w:numId="16">
    <w:abstractNumId w:val="12"/>
  </w:num>
  <w:num w:numId="17">
    <w:abstractNumId w:val="18"/>
  </w:num>
  <w:num w:numId="18">
    <w:abstractNumId w:val="4"/>
  </w:num>
  <w:num w:numId="19">
    <w:abstractNumId w:val="13"/>
  </w:num>
  <w:num w:numId="20">
    <w:abstractNumId w:val="16"/>
  </w:num>
  <w:num w:numId="21">
    <w:abstractNumId w:val="15"/>
  </w:num>
  <w:num w:numId="22">
    <w:abstractNumId w:val="24"/>
  </w:num>
  <w:num w:numId="23">
    <w:abstractNumId w:val="21"/>
  </w:num>
  <w:num w:numId="24">
    <w:abstractNumId w:val="26"/>
  </w:num>
  <w:num w:numId="25">
    <w:abstractNumId w:val="11"/>
  </w:num>
  <w:num w:numId="26">
    <w:abstractNumId w:val="5"/>
  </w:num>
  <w:num w:numId="27">
    <w:abstractNumId w:val="32"/>
  </w:num>
  <w:num w:numId="28">
    <w:abstractNumId w:val="28"/>
  </w:num>
  <w:num w:numId="29">
    <w:abstractNumId w:val="30"/>
  </w:num>
  <w:num w:numId="30">
    <w:abstractNumId w:val="7"/>
  </w:num>
  <w:num w:numId="31">
    <w:abstractNumId w:val="19"/>
  </w:num>
  <w:num w:numId="32">
    <w:abstractNumId w:val="37"/>
  </w:num>
  <w:num w:numId="33">
    <w:abstractNumId w:val="2"/>
  </w:num>
  <w:num w:numId="34">
    <w:abstractNumId w:val="10"/>
  </w:num>
  <w:num w:numId="35">
    <w:abstractNumId w:val="36"/>
  </w:num>
  <w:num w:numId="36">
    <w:abstractNumId w:val="3"/>
  </w:num>
  <w:num w:numId="37">
    <w:abstractNumId w:val="14"/>
  </w:num>
  <w:num w:numId="38">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4242"/>
    <w:rsid w:val="000100B6"/>
    <w:rsid w:val="00010AE0"/>
    <w:rsid w:val="0001177F"/>
    <w:rsid w:val="000118E2"/>
    <w:rsid w:val="00012052"/>
    <w:rsid w:val="00014CF2"/>
    <w:rsid w:val="000165F4"/>
    <w:rsid w:val="0001753E"/>
    <w:rsid w:val="00020136"/>
    <w:rsid w:val="00020924"/>
    <w:rsid w:val="000229DE"/>
    <w:rsid w:val="00025A79"/>
    <w:rsid w:val="00026E96"/>
    <w:rsid w:val="0003060D"/>
    <w:rsid w:val="000309F5"/>
    <w:rsid w:val="00030C87"/>
    <w:rsid w:val="000342EF"/>
    <w:rsid w:val="00034774"/>
    <w:rsid w:val="00035A9C"/>
    <w:rsid w:val="00037174"/>
    <w:rsid w:val="000402B3"/>
    <w:rsid w:val="0004034D"/>
    <w:rsid w:val="00040709"/>
    <w:rsid w:val="00040C15"/>
    <w:rsid w:val="00040E9B"/>
    <w:rsid w:val="0004203D"/>
    <w:rsid w:val="00042069"/>
    <w:rsid w:val="000424D3"/>
    <w:rsid w:val="0004630E"/>
    <w:rsid w:val="00046FC1"/>
    <w:rsid w:val="00047288"/>
    <w:rsid w:val="000510BB"/>
    <w:rsid w:val="00055C65"/>
    <w:rsid w:val="00056533"/>
    <w:rsid w:val="000567E2"/>
    <w:rsid w:val="000606F6"/>
    <w:rsid w:val="000624B2"/>
    <w:rsid w:val="00065C6B"/>
    <w:rsid w:val="000717B5"/>
    <w:rsid w:val="0007372D"/>
    <w:rsid w:val="00074C8C"/>
    <w:rsid w:val="00080091"/>
    <w:rsid w:val="00080783"/>
    <w:rsid w:val="00082668"/>
    <w:rsid w:val="00087F57"/>
    <w:rsid w:val="0009203F"/>
    <w:rsid w:val="000930D9"/>
    <w:rsid w:val="000933DC"/>
    <w:rsid w:val="00095119"/>
    <w:rsid w:val="00095EF3"/>
    <w:rsid w:val="000A092A"/>
    <w:rsid w:val="000A0E7E"/>
    <w:rsid w:val="000A1305"/>
    <w:rsid w:val="000A4907"/>
    <w:rsid w:val="000A6B9C"/>
    <w:rsid w:val="000A738F"/>
    <w:rsid w:val="000A7717"/>
    <w:rsid w:val="000B1080"/>
    <w:rsid w:val="000B11F3"/>
    <w:rsid w:val="000B16CC"/>
    <w:rsid w:val="000B1AFB"/>
    <w:rsid w:val="000B213E"/>
    <w:rsid w:val="000B2C2F"/>
    <w:rsid w:val="000B44E5"/>
    <w:rsid w:val="000B4624"/>
    <w:rsid w:val="000B46CC"/>
    <w:rsid w:val="000B4CAC"/>
    <w:rsid w:val="000B6062"/>
    <w:rsid w:val="000B7B80"/>
    <w:rsid w:val="000C061E"/>
    <w:rsid w:val="000C3F05"/>
    <w:rsid w:val="000C61BF"/>
    <w:rsid w:val="000C65C8"/>
    <w:rsid w:val="000C70E2"/>
    <w:rsid w:val="000C7259"/>
    <w:rsid w:val="000C747B"/>
    <w:rsid w:val="000D00DE"/>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F13"/>
    <w:rsid w:val="001041F9"/>
    <w:rsid w:val="00104487"/>
    <w:rsid w:val="00111AB1"/>
    <w:rsid w:val="00112B3A"/>
    <w:rsid w:val="00112B99"/>
    <w:rsid w:val="00112BA7"/>
    <w:rsid w:val="00113D79"/>
    <w:rsid w:val="00114F0B"/>
    <w:rsid w:val="00115A0E"/>
    <w:rsid w:val="001161EF"/>
    <w:rsid w:val="00120C1C"/>
    <w:rsid w:val="00120D87"/>
    <w:rsid w:val="00122ED0"/>
    <w:rsid w:val="0012519B"/>
    <w:rsid w:val="00125A74"/>
    <w:rsid w:val="001274D5"/>
    <w:rsid w:val="00127C83"/>
    <w:rsid w:val="00130DAE"/>
    <w:rsid w:val="001328E8"/>
    <w:rsid w:val="001352CE"/>
    <w:rsid w:val="0014320D"/>
    <w:rsid w:val="0014667C"/>
    <w:rsid w:val="0015350F"/>
    <w:rsid w:val="001546B0"/>
    <w:rsid w:val="00156C6A"/>
    <w:rsid w:val="0016046D"/>
    <w:rsid w:val="001619CD"/>
    <w:rsid w:val="001635E9"/>
    <w:rsid w:val="00164909"/>
    <w:rsid w:val="00165F25"/>
    <w:rsid w:val="00166C2A"/>
    <w:rsid w:val="0016765F"/>
    <w:rsid w:val="0017087A"/>
    <w:rsid w:val="001708B8"/>
    <w:rsid w:val="001709BB"/>
    <w:rsid w:val="00171113"/>
    <w:rsid w:val="0017622A"/>
    <w:rsid w:val="001769DF"/>
    <w:rsid w:val="00180455"/>
    <w:rsid w:val="001816F5"/>
    <w:rsid w:val="00181BE5"/>
    <w:rsid w:val="00182077"/>
    <w:rsid w:val="00186497"/>
    <w:rsid w:val="0019158B"/>
    <w:rsid w:val="00191960"/>
    <w:rsid w:val="00191992"/>
    <w:rsid w:val="00191CCB"/>
    <w:rsid w:val="00193E92"/>
    <w:rsid w:val="00194662"/>
    <w:rsid w:val="00196AEB"/>
    <w:rsid w:val="0019777A"/>
    <w:rsid w:val="001977AF"/>
    <w:rsid w:val="001A0771"/>
    <w:rsid w:val="001A18B6"/>
    <w:rsid w:val="001A1AF6"/>
    <w:rsid w:val="001A3134"/>
    <w:rsid w:val="001A42F0"/>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6F2"/>
    <w:rsid w:val="001C3BD6"/>
    <w:rsid w:val="001C3D56"/>
    <w:rsid w:val="001C55C2"/>
    <w:rsid w:val="001C6D2B"/>
    <w:rsid w:val="001D0122"/>
    <w:rsid w:val="001D05A9"/>
    <w:rsid w:val="001D0981"/>
    <w:rsid w:val="001D4A52"/>
    <w:rsid w:val="001D5987"/>
    <w:rsid w:val="001D609E"/>
    <w:rsid w:val="001D6AFF"/>
    <w:rsid w:val="001D6EFA"/>
    <w:rsid w:val="001E1528"/>
    <w:rsid w:val="001E227A"/>
    <w:rsid w:val="001E4787"/>
    <w:rsid w:val="001E5AF6"/>
    <w:rsid w:val="001E5BB1"/>
    <w:rsid w:val="001E6910"/>
    <w:rsid w:val="001E79D4"/>
    <w:rsid w:val="001F3CFB"/>
    <w:rsid w:val="001F50FF"/>
    <w:rsid w:val="001F635A"/>
    <w:rsid w:val="00201B4B"/>
    <w:rsid w:val="00206835"/>
    <w:rsid w:val="00206EDA"/>
    <w:rsid w:val="00207C5A"/>
    <w:rsid w:val="00212661"/>
    <w:rsid w:val="00220DF6"/>
    <w:rsid w:val="00223D79"/>
    <w:rsid w:val="002254E5"/>
    <w:rsid w:val="002255EF"/>
    <w:rsid w:val="002266F3"/>
    <w:rsid w:val="00230DE8"/>
    <w:rsid w:val="002333A7"/>
    <w:rsid w:val="00234463"/>
    <w:rsid w:val="00236031"/>
    <w:rsid w:val="00236849"/>
    <w:rsid w:val="00237B28"/>
    <w:rsid w:val="00240743"/>
    <w:rsid w:val="00240E20"/>
    <w:rsid w:val="00241BCE"/>
    <w:rsid w:val="00243C32"/>
    <w:rsid w:val="002455D7"/>
    <w:rsid w:val="00246C04"/>
    <w:rsid w:val="002470C8"/>
    <w:rsid w:val="00251899"/>
    <w:rsid w:val="00253BCA"/>
    <w:rsid w:val="00257790"/>
    <w:rsid w:val="00261B84"/>
    <w:rsid w:val="002636F6"/>
    <w:rsid w:val="00265515"/>
    <w:rsid w:val="00266795"/>
    <w:rsid w:val="0026779E"/>
    <w:rsid w:val="002702CE"/>
    <w:rsid w:val="0027048C"/>
    <w:rsid w:val="0027710B"/>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6711"/>
    <w:rsid w:val="002C20A7"/>
    <w:rsid w:val="002C220C"/>
    <w:rsid w:val="002C3AF5"/>
    <w:rsid w:val="002C4AE2"/>
    <w:rsid w:val="002C64EB"/>
    <w:rsid w:val="002C7582"/>
    <w:rsid w:val="002D349C"/>
    <w:rsid w:val="002D4754"/>
    <w:rsid w:val="002D7DF1"/>
    <w:rsid w:val="002E2188"/>
    <w:rsid w:val="002E324D"/>
    <w:rsid w:val="002E404D"/>
    <w:rsid w:val="002E5B12"/>
    <w:rsid w:val="002E6879"/>
    <w:rsid w:val="002E6B97"/>
    <w:rsid w:val="002F0D3C"/>
    <w:rsid w:val="002F166B"/>
    <w:rsid w:val="002F2CF8"/>
    <w:rsid w:val="003001A4"/>
    <w:rsid w:val="0030038C"/>
    <w:rsid w:val="003030CA"/>
    <w:rsid w:val="00306711"/>
    <w:rsid w:val="00310EF5"/>
    <w:rsid w:val="003129E4"/>
    <w:rsid w:val="00313692"/>
    <w:rsid w:val="00314964"/>
    <w:rsid w:val="00315271"/>
    <w:rsid w:val="00317B73"/>
    <w:rsid w:val="0032130A"/>
    <w:rsid w:val="00321E87"/>
    <w:rsid w:val="00322E1A"/>
    <w:rsid w:val="003251F2"/>
    <w:rsid w:val="00326609"/>
    <w:rsid w:val="00326785"/>
    <w:rsid w:val="00330B5C"/>
    <w:rsid w:val="00330BD2"/>
    <w:rsid w:val="00330F8D"/>
    <w:rsid w:val="00333C39"/>
    <w:rsid w:val="0033414D"/>
    <w:rsid w:val="00342CA7"/>
    <w:rsid w:val="0034785B"/>
    <w:rsid w:val="00350000"/>
    <w:rsid w:val="0035319B"/>
    <w:rsid w:val="003537FB"/>
    <w:rsid w:val="003572E2"/>
    <w:rsid w:val="003573B4"/>
    <w:rsid w:val="00357E5F"/>
    <w:rsid w:val="00360133"/>
    <w:rsid w:val="00360212"/>
    <w:rsid w:val="00361211"/>
    <w:rsid w:val="003625AB"/>
    <w:rsid w:val="00366529"/>
    <w:rsid w:val="00370C93"/>
    <w:rsid w:val="00370F77"/>
    <w:rsid w:val="00375887"/>
    <w:rsid w:val="00375B19"/>
    <w:rsid w:val="00375EB1"/>
    <w:rsid w:val="003760DA"/>
    <w:rsid w:val="0037681B"/>
    <w:rsid w:val="00380EDD"/>
    <w:rsid w:val="00382ADF"/>
    <w:rsid w:val="00382B82"/>
    <w:rsid w:val="00383051"/>
    <w:rsid w:val="003836AD"/>
    <w:rsid w:val="00385FDC"/>
    <w:rsid w:val="00387404"/>
    <w:rsid w:val="0039018A"/>
    <w:rsid w:val="003909B6"/>
    <w:rsid w:val="003911EB"/>
    <w:rsid w:val="003932D7"/>
    <w:rsid w:val="00393B37"/>
    <w:rsid w:val="00394245"/>
    <w:rsid w:val="003954ED"/>
    <w:rsid w:val="00395526"/>
    <w:rsid w:val="003963D7"/>
    <w:rsid w:val="003979AE"/>
    <w:rsid w:val="00397B2A"/>
    <w:rsid w:val="003A1BB2"/>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2CB7"/>
    <w:rsid w:val="003D45C0"/>
    <w:rsid w:val="003D467D"/>
    <w:rsid w:val="003D4877"/>
    <w:rsid w:val="003D4CAA"/>
    <w:rsid w:val="003D5965"/>
    <w:rsid w:val="003D6EF1"/>
    <w:rsid w:val="003D7107"/>
    <w:rsid w:val="003E0A1D"/>
    <w:rsid w:val="003E1EBC"/>
    <w:rsid w:val="003E2874"/>
    <w:rsid w:val="003E4129"/>
    <w:rsid w:val="003E50AF"/>
    <w:rsid w:val="003E7B98"/>
    <w:rsid w:val="003E7CE4"/>
    <w:rsid w:val="003F05B5"/>
    <w:rsid w:val="003F0A4B"/>
    <w:rsid w:val="003F2E2E"/>
    <w:rsid w:val="003F5934"/>
    <w:rsid w:val="003F5C52"/>
    <w:rsid w:val="003F60CE"/>
    <w:rsid w:val="00400640"/>
    <w:rsid w:val="004010C8"/>
    <w:rsid w:val="00402FF6"/>
    <w:rsid w:val="0040475D"/>
    <w:rsid w:val="00411BEB"/>
    <w:rsid w:val="00411E4D"/>
    <w:rsid w:val="00413263"/>
    <w:rsid w:val="00413367"/>
    <w:rsid w:val="0041677E"/>
    <w:rsid w:val="00416A63"/>
    <w:rsid w:val="00417980"/>
    <w:rsid w:val="00417DAB"/>
    <w:rsid w:val="004208DB"/>
    <w:rsid w:val="00422028"/>
    <w:rsid w:val="0042535E"/>
    <w:rsid w:val="00426016"/>
    <w:rsid w:val="0042692E"/>
    <w:rsid w:val="00426A96"/>
    <w:rsid w:val="00426B6A"/>
    <w:rsid w:val="00427C8A"/>
    <w:rsid w:val="004301FB"/>
    <w:rsid w:val="00430A0C"/>
    <w:rsid w:val="00430D7A"/>
    <w:rsid w:val="0043192E"/>
    <w:rsid w:val="004329A3"/>
    <w:rsid w:val="00432DA9"/>
    <w:rsid w:val="0043399E"/>
    <w:rsid w:val="0043460F"/>
    <w:rsid w:val="0043497B"/>
    <w:rsid w:val="004354E8"/>
    <w:rsid w:val="00437BBD"/>
    <w:rsid w:val="00440BA4"/>
    <w:rsid w:val="00441947"/>
    <w:rsid w:val="0044236B"/>
    <w:rsid w:val="0044418A"/>
    <w:rsid w:val="00444F88"/>
    <w:rsid w:val="00445161"/>
    <w:rsid w:val="00447D9E"/>
    <w:rsid w:val="0045444D"/>
    <w:rsid w:val="00455902"/>
    <w:rsid w:val="0045632B"/>
    <w:rsid w:val="0045782A"/>
    <w:rsid w:val="004578B1"/>
    <w:rsid w:val="00460121"/>
    <w:rsid w:val="00461D57"/>
    <w:rsid w:val="00462C4F"/>
    <w:rsid w:val="00465987"/>
    <w:rsid w:val="00466259"/>
    <w:rsid w:val="00466FE0"/>
    <w:rsid w:val="004720FB"/>
    <w:rsid w:val="00472C4A"/>
    <w:rsid w:val="00472C64"/>
    <w:rsid w:val="004749B4"/>
    <w:rsid w:val="00475044"/>
    <w:rsid w:val="00475327"/>
    <w:rsid w:val="00475594"/>
    <w:rsid w:val="00475F0E"/>
    <w:rsid w:val="00476163"/>
    <w:rsid w:val="00480C32"/>
    <w:rsid w:val="00482C00"/>
    <w:rsid w:val="00483FE0"/>
    <w:rsid w:val="004843E1"/>
    <w:rsid w:val="00487590"/>
    <w:rsid w:val="00490625"/>
    <w:rsid w:val="00491F60"/>
    <w:rsid w:val="00492221"/>
    <w:rsid w:val="00492F4D"/>
    <w:rsid w:val="004968AB"/>
    <w:rsid w:val="00496A27"/>
    <w:rsid w:val="00497EE2"/>
    <w:rsid w:val="004A2A51"/>
    <w:rsid w:val="004A4661"/>
    <w:rsid w:val="004A4984"/>
    <w:rsid w:val="004A73EB"/>
    <w:rsid w:val="004A75C7"/>
    <w:rsid w:val="004B0412"/>
    <w:rsid w:val="004B0546"/>
    <w:rsid w:val="004B4D2A"/>
    <w:rsid w:val="004B772B"/>
    <w:rsid w:val="004C0C85"/>
    <w:rsid w:val="004C1698"/>
    <w:rsid w:val="004C1B0D"/>
    <w:rsid w:val="004C1BDF"/>
    <w:rsid w:val="004C44C5"/>
    <w:rsid w:val="004C46AD"/>
    <w:rsid w:val="004C5DDB"/>
    <w:rsid w:val="004C69B5"/>
    <w:rsid w:val="004C6B7F"/>
    <w:rsid w:val="004D04B1"/>
    <w:rsid w:val="004D0833"/>
    <w:rsid w:val="004D18F0"/>
    <w:rsid w:val="004D2982"/>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25ED"/>
    <w:rsid w:val="0050286B"/>
    <w:rsid w:val="00503FE4"/>
    <w:rsid w:val="00504D8D"/>
    <w:rsid w:val="00504FA7"/>
    <w:rsid w:val="0050713B"/>
    <w:rsid w:val="0051000B"/>
    <w:rsid w:val="00510B45"/>
    <w:rsid w:val="00511050"/>
    <w:rsid w:val="00512125"/>
    <w:rsid w:val="00512ED4"/>
    <w:rsid w:val="005138C6"/>
    <w:rsid w:val="00515448"/>
    <w:rsid w:val="00516B68"/>
    <w:rsid w:val="00517BCF"/>
    <w:rsid w:val="00522DC2"/>
    <w:rsid w:val="00525284"/>
    <w:rsid w:val="005267A5"/>
    <w:rsid w:val="00527A84"/>
    <w:rsid w:val="00527CEE"/>
    <w:rsid w:val="0053432F"/>
    <w:rsid w:val="00537C1D"/>
    <w:rsid w:val="00540DFC"/>
    <w:rsid w:val="00544310"/>
    <w:rsid w:val="0055140F"/>
    <w:rsid w:val="00551A23"/>
    <w:rsid w:val="005564EF"/>
    <w:rsid w:val="0055675B"/>
    <w:rsid w:val="00556ECE"/>
    <w:rsid w:val="00557FBC"/>
    <w:rsid w:val="00560CCA"/>
    <w:rsid w:val="005621A9"/>
    <w:rsid w:val="00562D6D"/>
    <w:rsid w:val="00563A69"/>
    <w:rsid w:val="005653CE"/>
    <w:rsid w:val="00565FBD"/>
    <w:rsid w:val="00566EA3"/>
    <w:rsid w:val="00567E68"/>
    <w:rsid w:val="00570380"/>
    <w:rsid w:val="00570D08"/>
    <w:rsid w:val="00571CA2"/>
    <w:rsid w:val="005740A3"/>
    <w:rsid w:val="00580AC8"/>
    <w:rsid w:val="00583213"/>
    <w:rsid w:val="00583FC6"/>
    <w:rsid w:val="00585773"/>
    <w:rsid w:val="005918E9"/>
    <w:rsid w:val="00592088"/>
    <w:rsid w:val="00593D35"/>
    <w:rsid w:val="005970E7"/>
    <w:rsid w:val="005972BE"/>
    <w:rsid w:val="00597AE2"/>
    <w:rsid w:val="00597FF3"/>
    <w:rsid w:val="005A7426"/>
    <w:rsid w:val="005A7559"/>
    <w:rsid w:val="005A784D"/>
    <w:rsid w:val="005B132B"/>
    <w:rsid w:val="005B1C5F"/>
    <w:rsid w:val="005B268E"/>
    <w:rsid w:val="005B5382"/>
    <w:rsid w:val="005C15E4"/>
    <w:rsid w:val="005C1B60"/>
    <w:rsid w:val="005C1C4B"/>
    <w:rsid w:val="005C1D5D"/>
    <w:rsid w:val="005C31A9"/>
    <w:rsid w:val="005C4CDA"/>
    <w:rsid w:val="005C6C9E"/>
    <w:rsid w:val="005C7483"/>
    <w:rsid w:val="005C7B10"/>
    <w:rsid w:val="005D169B"/>
    <w:rsid w:val="005D369B"/>
    <w:rsid w:val="005D391F"/>
    <w:rsid w:val="005D4EF0"/>
    <w:rsid w:val="005D6BF0"/>
    <w:rsid w:val="005E041B"/>
    <w:rsid w:val="005E0AC7"/>
    <w:rsid w:val="005E412E"/>
    <w:rsid w:val="005E41A5"/>
    <w:rsid w:val="005E440A"/>
    <w:rsid w:val="005F251C"/>
    <w:rsid w:val="005F292F"/>
    <w:rsid w:val="005F3E9D"/>
    <w:rsid w:val="005F6DDE"/>
    <w:rsid w:val="006006D4"/>
    <w:rsid w:val="00600777"/>
    <w:rsid w:val="00603B1D"/>
    <w:rsid w:val="006055E4"/>
    <w:rsid w:val="00605732"/>
    <w:rsid w:val="00607528"/>
    <w:rsid w:val="00610CE8"/>
    <w:rsid w:val="0061136D"/>
    <w:rsid w:val="00611B11"/>
    <w:rsid w:val="0061378C"/>
    <w:rsid w:val="00613D2C"/>
    <w:rsid w:val="00617D26"/>
    <w:rsid w:val="006203C1"/>
    <w:rsid w:val="00626EF8"/>
    <w:rsid w:val="006272AA"/>
    <w:rsid w:val="00631F57"/>
    <w:rsid w:val="006345D9"/>
    <w:rsid w:val="00642DEE"/>
    <w:rsid w:val="0064440E"/>
    <w:rsid w:val="0064490A"/>
    <w:rsid w:val="0064663F"/>
    <w:rsid w:val="006477B9"/>
    <w:rsid w:val="00650847"/>
    <w:rsid w:val="00651A5D"/>
    <w:rsid w:val="00653A10"/>
    <w:rsid w:val="0065414D"/>
    <w:rsid w:val="00655B0C"/>
    <w:rsid w:val="006570E9"/>
    <w:rsid w:val="0066208C"/>
    <w:rsid w:val="0066442C"/>
    <w:rsid w:val="00664758"/>
    <w:rsid w:val="00665B41"/>
    <w:rsid w:val="00665E56"/>
    <w:rsid w:val="00665F38"/>
    <w:rsid w:val="006662AB"/>
    <w:rsid w:val="0066668A"/>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9F6"/>
    <w:rsid w:val="00691E7A"/>
    <w:rsid w:val="00697F9F"/>
    <w:rsid w:val="006A0E30"/>
    <w:rsid w:val="006A601E"/>
    <w:rsid w:val="006A6754"/>
    <w:rsid w:val="006A6F6A"/>
    <w:rsid w:val="006B2F2F"/>
    <w:rsid w:val="006B455C"/>
    <w:rsid w:val="006B6650"/>
    <w:rsid w:val="006B77D1"/>
    <w:rsid w:val="006C0962"/>
    <w:rsid w:val="006C2636"/>
    <w:rsid w:val="006C3085"/>
    <w:rsid w:val="006C4405"/>
    <w:rsid w:val="006C4F29"/>
    <w:rsid w:val="006D7F0C"/>
    <w:rsid w:val="006E203B"/>
    <w:rsid w:val="006E38C2"/>
    <w:rsid w:val="006E4D56"/>
    <w:rsid w:val="006E5714"/>
    <w:rsid w:val="006E6EA7"/>
    <w:rsid w:val="006E770D"/>
    <w:rsid w:val="006F0B36"/>
    <w:rsid w:val="006F3E59"/>
    <w:rsid w:val="006F4770"/>
    <w:rsid w:val="006F55DC"/>
    <w:rsid w:val="00700030"/>
    <w:rsid w:val="0070386B"/>
    <w:rsid w:val="00705091"/>
    <w:rsid w:val="00706F04"/>
    <w:rsid w:val="0071279C"/>
    <w:rsid w:val="00713C7B"/>
    <w:rsid w:val="00714C42"/>
    <w:rsid w:val="007151DC"/>
    <w:rsid w:val="00715759"/>
    <w:rsid w:val="007169F5"/>
    <w:rsid w:val="007211A0"/>
    <w:rsid w:val="00721934"/>
    <w:rsid w:val="0072228A"/>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4EE0"/>
    <w:rsid w:val="00747156"/>
    <w:rsid w:val="00747C15"/>
    <w:rsid w:val="00751E25"/>
    <w:rsid w:val="00752A20"/>
    <w:rsid w:val="00761979"/>
    <w:rsid w:val="00762917"/>
    <w:rsid w:val="00763F46"/>
    <w:rsid w:val="00764E0C"/>
    <w:rsid w:val="00764EBB"/>
    <w:rsid w:val="00765EA1"/>
    <w:rsid w:val="0076600A"/>
    <w:rsid w:val="00766C6A"/>
    <w:rsid w:val="00766EF5"/>
    <w:rsid w:val="00767FDF"/>
    <w:rsid w:val="007717B2"/>
    <w:rsid w:val="00772C6B"/>
    <w:rsid w:val="00772CF4"/>
    <w:rsid w:val="007737C4"/>
    <w:rsid w:val="007752CC"/>
    <w:rsid w:val="00776766"/>
    <w:rsid w:val="00777073"/>
    <w:rsid w:val="00780F85"/>
    <w:rsid w:val="007826A3"/>
    <w:rsid w:val="00782BD3"/>
    <w:rsid w:val="00783359"/>
    <w:rsid w:val="007846B9"/>
    <w:rsid w:val="0078679F"/>
    <w:rsid w:val="00790EAD"/>
    <w:rsid w:val="007A0642"/>
    <w:rsid w:val="007A17AE"/>
    <w:rsid w:val="007A2284"/>
    <w:rsid w:val="007A5E50"/>
    <w:rsid w:val="007B104A"/>
    <w:rsid w:val="007B3138"/>
    <w:rsid w:val="007B3740"/>
    <w:rsid w:val="007B4852"/>
    <w:rsid w:val="007B5569"/>
    <w:rsid w:val="007B72E5"/>
    <w:rsid w:val="007B7CB6"/>
    <w:rsid w:val="007B7E11"/>
    <w:rsid w:val="007C0E8C"/>
    <w:rsid w:val="007C1667"/>
    <w:rsid w:val="007C7977"/>
    <w:rsid w:val="007C7C80"/>
    <w:rsid w:val="007D0D42"/>
    <w:rsid w:val="007D18B2"/>
    <w:rsid w:val="007D26DA"/>
    <w:rsid w:val="007D3C47"/>
    <w:rsid w:val="007D4A59"/>
    <w:rsid w:val="007D5B99"/>
    <w:rsid w:val="007D5D79"/>
    <w:rsid w:val="007D737D"/>
    <w:rsid w:val="007E3DA5"/>
    <w:rsid w:val="007E535E"/>
    <w:rsid w:val="007E561E"/>
    <w:rsid w:val="007E726B"/>
    <w:rsid w:val="007E7E23"/>
    <w:rsid w:val="007F3A69"/>
    <w:rsid w:val="007F5341"/>
    <w:rsid w:val="007F5D7C"/>
    <w:rsid w:val="007F701D"/>
    <w:rsid w:val="007F7982"/>
    <w:rsid w:val="007F7B90"/>
    <w:rsid w:val="00800008"/>
    <w:rsid w:val="0080065E"/>
    <w:rsid w:val="008016C3"/>
    <w:rsid w:val="00801BD2"/>
    <w:rsid w:val="008067A3"/>
    <w:rsid w:val="00810848"/>
    <w:rsid w:val="00812682"/>
    <w:rsid w:val="00812FA0"/>
    <w:rsid w:val="00813091"/>
    <w:rsid w:val="0081467A"/>
    <w:rsid w:val="00815FD4"/>
    <w:rsid w:val="00822620"/>
    <w:rsid w:val="00822D21"/>
    <w:rsid w:val="00822E01"/>
    <w:rsid w:val="00823B75"/>
    <w:rsid w:val="0082443C"/>
    <w:rsid w:val="008265FE"/>
    <w:rsid w:val="008274B6"/>
    <w:rsid w:val="008300BA"/>
    <w:rsid w:val="00830436"/>
    <w:rsid w:val="00830707"/>
    <w:rsid w:val="0083174A"/>
    <w:rsid w:val="008331DD"/>
    <w:rsid w:val="00834B8A"/>
    <w:rsid w:val="00836A16"/>
    <w:rsid w:val="0084636F"/>
    <w:rsid w:val="00846FF8"/>
    <w:rsid w:val="00847A42"/>
    <w:rsid w:val="00847CDD"/>
    <w:rsid w:val="008521DD"/>
    <w:rsid w:val="0085312F"/>
    <w:rsid w:val="008534A5"/>
    <w:rsid w:val="00854F34"/>
    <w:rsid w:val="00857363"/>
    <w:rsid w:val="00857C89"/>
    <w:rsid w:val="00864491"/>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85EF9"/>
    <w:rsid w:val="00890B05"/>
    <w:rsid w:val="0089113B"/>
    <w:rsid w:val="00892056"/>
    <w:rsid w:val="00894151"/>
    <w:rsid w:val="0089581D"/>
    <w:rsid w:val="008A25FA"/>
    <w:rsid w:val="008A2F64"/>
    <w:rsid w:val="008A3231"/>
    <w:rsid w:val="008A3CE2"/>
    <w:rsid w:val="008A4101"/>
    <w:rsid w:val="008A4539"/>
    <w:rsid w:val="008A6C9A"/>
    <w:rsid w:val="008A7EF8"/>
    <w:rsid w:val="008B2BDD"/>
    <w:rsid w:val="008B30E4"/>
    <w:rsid w:val="008B3E90"/>
    <w:rsid w:val="008B50BA"/>
    <w:rsid w:val="008B5704"/>
    <w:rsid w:val="008B7E6D"/>
    <w:rsid w:val="008C1A59"/>
    <w:rsid w:val="008C1D03"/>
    <w:rsid w:val="008C2CD3"/>
    <w:rsid w:val="008C53AA"/>
    <w:rsid w:val="008C5A4A"/>
    <w:rsid w:val="008C5F75"/>
    <w:rsid w:val="008C6894"/>
    <w:rsid w:val="008D1CEE"/>
    <w:rsid w:val="008D20E8"/>
    <w:rsid w:val="008D26F0"/>
    <w:rsid w:val="008D4F9D"/>
    <w:rsid w:val="008D56E2"/>
    <w:rsid w:val="008D57D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4D51"/>
    <w:rsid w:val="009062E4"/>
    <w:rsid w:val="00906D77"/>
    <w:rsid w:val="00911C51"/>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301FC"/>
    <w:rsid w:val="00930E73"/>
    <w:rsid w:val="00933FDD"/>
    <w:rsid w:val="00935945"/>
    <w:rsid w:val="0094103E"/>
    <w:rsid w:val="009442B9"/>
    <w:rsid w:val="009456B7"/>
    <w:rsid w:val="00945961"/>
    <w:rsid w:val="00945D10"/>
    <w:rsid w:val="009475B4"/>
    <w:rsid w:val="00947A2A"/>
    <w:rsid w:val="0095285E"/>
    <w:rsid w:val="00952DFC"/>
    <w:rsid w:val="009530AA"/>
    <w:rsid w:val="00953821"/>
    <w:rsid w:val="00954E53"/>
    <w:rsid w:val="00956989"/>
    <w:rsid w:val="0096000D"/>
    <w:rsid w:val="00963B18"/>
    <w:rsid w:val="00964BB2"/>
    <w:rsid w:val="0096524B"/>
    <w:rsid w:val="00965A1D"/>
    <w:rsid w:val="00965E82"/>
    <w:rsid w:val="00972DC9"/>
    <w:rsid w:val="00977AA4"/>
    <w:rsid w:val="00981ACB"/>
    <w:rsid w:val="00983066"/>
    <w:rsid w:val="0098375A"/>
    <w:rsid w:val="00987130"/>
    <w:rsid w:val="00992AA7"/>
    <w:rsid w:val="00992BEB"/>
    <w:rsid w:val="00993A5C"/>
    <w:rsid w:val="00994DFA"/>
    <w:rsid w:val="009953B1"/>
    <w:rsid w:val="00995AF2"/>
    <w:rsid w:val="0099604D"/>
    <w:rsid w:val="009961B2"/>
    <w:rsid w:val="009A078A"/>
    <w:rsid w:val="009A08BE"/>
    <w:rsid w:val="009A2882"/>
    <w:rsid w:val="009A4F5C"/>
    <w:rsid w:val="009A5551"/>
    <w:rsid w:val="009A5FAB"/>
    <w:rsid w:val="009B0A6D"/>
    <w:rsid w:val="009B3E6F"/>
    <w:rsid w:val="009B4985"/>
    <w:rsid w:val="009B4BD4"/>
    <w:rsid w:val="009B526B"/>
    <w:rsid w:val="009B6516"/>
    <w:rsid w:val="009B702B"/>
    <w:rsid w:val="009B7574"/>
    <w:rsid w:val="009C0342"/>
    <w:rsid w:val="009C2278"/>
    <w:rsid w:val="009C38C1"/>
    <w:rsid w:val="009C4014"/>
    <w:rsid w:val="009C711B"/>
    <w:rsid w:val="009C72C0"/>
    <w:rsid w:val="009D009A"/>
    <w:rsid w:val="009D0D60"/>
    <w:rsid w:val="009D1A1B"/>
    <w:rsid w:val="009D5855"/>
    <w:rsid w:val="009D5B5A"/>
    <w:rsid w:val="009D6753"/>
    <w:rsid w:val="009D7C3D"/>
    <w:rsid w:val="009E1147"/>
    <w:rsid w:val="009E278E"/>
    <w:rsid w:val="009E34DC"/>
    <w:rsid w:val="009E44FB"/>
    <w:rsid w:val="009F0580"/>
    <w:rsid w:val="009F0D88"/>
    <w:rsid w:val="009F1103"/>
    <w:rsid w:val="009F3A48"/>
    <w:rsid w:val="009F5952"/>
    <w:rsid w:val="00A04460"/>
    <w:rsid w:val="00A06FE5"/>
    <w:rsid w:val="00A12373"/>
    <w:rsid w:val="00A12F1B"/>
    <w:rsid w:val="00A15691"/>
    <w:rsid w:val="00A15ECF"/>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30472"/>
    <w:rsid w:val="00A31BA2"/>
    <w:rsid w:val="00A31F06"/>
    <w:rsid w:val="00A33F35"/>
    <w:rsid w:val="00A34652"/>
    <w:rsid w:val="00A36509"/>
    <w:rsid w:val="00A41109"/>
    <w:rsid w:val="00A437F8"/>
    <w:rsid w:val="00A463D8"/>
    <w:rsid w:val="00A47696"/>
    <w:rsid w:val="00A505FC"/>
    <w:rsid w:val="00A547CF"/>
    <w:rsid w:val="00A57973"/>
    <w:rsid w:val="00A61CB9"/>
    <w:rsid w:val="00A61E7B"/>
    <w:rsid w:val="00A6540D"/>
    <w:rsid w:val="00A666B6"/>
    <w:rsid w:val="00A66BD1"/>
    <w:rsid w:val="00A7242F"/>
    <w:rsid w:val="00A74C4C"/>
    <w:rsid w:val="00A7597D"/>
    <w:rsid w:val="00A77118"/>
    <w:rsid w:val="00A778BC"/>
    <w:rsid w:val="00A82E67"/>
    <w:rsid w:val="00A83249"/>
    <w:rsid w:val="00A838EF"/>
    <w:rsid w:val="00A840FA"/>
    <w:rsid w:val="00A8675F"/>
    <w:rsid w:val="00A87578"/>
    <w:rsid w:val="00A90EEE"/>
    <w:rsid w:val="00AA24A8"/>
    <w:rsid w:val="00AA3DF6"/>
    <w:rsid w:val="00AA491D"/>
    <w:rsid w:val="00AB0882"/>
    <w:rsid w:val="00AB30C6"/>
    <w:rsid w:val="00AB3B72"/>
    <w:rsid w:val="00AB43BC"/>
    <w:rsid w:val="00AB7326"/>
    <w:rsid w:val="00AB7BEF"/>
    <w:rsid w:val="00AC0555"/>
    <w:rsid w:val="00AC09B5"/>
    <w:rsid w:val="00AC160E"/>
    <w:rsid w:val="00AC22CE"/>
    <w:rsid w:val="00AC348B"/>
    <w:rsid w:val="00AC5381"/>
    <w:rsid w:val="00AC76C9"/>
    <w:rsid w:val="00AC7D29"/>
    <w:rsid w:val="00AD21E5"/>
    <w:rsid w:val="00AD233F"/>
    <w:rsid w:val="00AD283D"/>
    <w:rsid w:val="00AD2B43"/>
    <w:rsid w:val="00AD4155"/>
    <w:rsid w:val="00AD5F92"/>
    <w:rsid w:val="00AD7F59"/>
    <w:rsid w:val="00AE1D08"/>
    <w:rsid w:val="00AE273A"/>
    <w:rsid w:val="00AE2A96"/>
    <w:rsid w:val="00AE36A5"/>
    <w:rsid w:val="00AE6210"/>
    <w:rsid w:val="00AE62B7"/>
    <w:rsid w:val="00AE6303"/>
    <w:rsid w:val="00AE7715"/>
    <w:rsid w:val="00AF00AB"/>
    <w:rsid w:val="00AF00B6"/>
    <w:rsid w:val="00AF0866"/>
    <w:rsid w:val="00AF0C68"/>
    <w:rsid w:val="00AF2FE7"/>
    <w:rsid w:val="00AF4375"/>
    <w:rsid w:val="00AF738B"/>
    <w:rsid w:val="00AF780A"/>
    <w:rsid w:val="00AF7E0E"/>
    <w:rsid w:val="00B01BEE"/>
    <w:rsid w:val="00B03768"/>
    <w:rsid w:val="00B04553"/>
    <w:rsid w:val="00B050F4"/>
    <w:rsid w:val="00B0737B"/>
    <w:rsid w:val="00B0768B"/>
    <w:rsid w:val="00B07F83"/>
    <w:rsid w:val="00B105B5"/>
    <w:rsid w:val="00B10C3A"/>
    <w:rsid w:val="00B11932"/>
    <w:rsid w:val="00B11D08"/>
    <w:rsid w:val="00B14D90"/>
    <w:rsid w:val="00B15432"/>
    <w:rsid w:val="00B15E82"/>
    <w:rsid w:val="00B16058"/>
    <w:rsid w:val="00B1714E"/>
    <w:rsid w:val="00B173C9"/>
    <w:rsid w:val="00B204D1"/>
    <w:rsid w:val="00B3009C"/>
    <w:rsid w:val="00B3258C"/>
    <w:rsid w:val="00B32F87"/>
    <w:rsid w:val="00B332ED"/>
    <w:rsid w:val="00B33428"/>
    <w:rsid w:val="00B34C63"/>
    <w:rsid w:val="00B370BA"/>
    <w:rsid w:val="00B42F4D"/>
    <w:rsid w:val="00B441C1"/>
    <w:rsid w:val="00B46687"/>
    <w:rsid w:val="00B47CCB"/>
    <w:rsid w:val="00B50959"/>
    <w:rsid w:val="00B5234B"/>
    <w:rsid w:val="00B611CA"/>
    <w:rsid w:val="00B615BD"/>
    <w:rsid w:val="00B651AB"/>
    <w:rsid w:val="00B666E4"/>
    <w:rsid w:val="00B70316"/>
    <w:rsid w:val="00B72CFC"/>
    <w:rsid w:val="00B7510C"/>
    <w:rsid w:val="00B76721"/>
    <w:rsid w:val="00B8082C"/>
    <w:rsid w:val="00B80F1E"/>
    <w:rsid w:val="00B81BF1"/>
    <w:rsid w:val="00B826AD"/>
    <w:rsid w:val="00B82E28"/>
    <w:rsid w:val="00B85AFC"/>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D70"/>
    <w:rsid w:val="00BA5C49"/>
    <w:rsid w:val="00BB2368"/>
    <w:rsid w:val="00BB43D1"/>
    <w:rsid w:val="00BB5571"/>
    <w:rsid w:val="00BB6A69"/>
    <w:rsid w:val="00BB7263"/>
    <w:rsid w:val="00BC018F"/>
    <w:rsid w:val="00BC061C"/>
    <w:rsid w:val="00BC0C77"/>
    <w:rsid w:val="00BC7B61"/>
    <w:rsid w:val="00BC7C8D"/>
    <w:rsid w:val="00BD0184"/>
    <w:rsid w:val="00BD18FB"/>
    <w:rsid w:val="00BD1FEF"/>
    <w:rsid w:val="00BD56C4"/>
    <w:rsid w:val="00BD5BC7"/>
    <w:rsid w:val="00BD69AF"/>
    <w:rsid w:val="00BD7DD3"/>
    <w:rsid w:val="00BE2B00"/>
    <w:rsid w:val="00BE318E"/>
    <w:rsid w:val="00BE5A51"/>
    <w:rsid w:val="00BE7DF8"/>
    <w:rsid w:val="00BF2BDC"/>
    <w:rsid w:val="00BF3127"/>
    <w:rsid w:val="00BF3DAE"/>
    <w:rsid w:val="00BF5124"/>
    <w:rsid w:val="00BF5515"/>
    <w:rsid w:val="00BF5916"/>
    <w:rsid w:val="00BF5AC2"/>
    <w:rsid w:val="00BF5C21"/>
    <w:rsid w:val="00BF62F2"/>
    <w:rsid w:val="00BF7E71"/>
    <w:rsid w:val="00C04D41"/>
    <w:rsid w:val="00C04D58"/>
    <w:rsid w:val="00C0552D"/>
    <w:rsid w:val="00C06610"/>
    <w:rsid w:val="00C07AA1"/>
    <w:rsid w:val="00C07D43"/>
    <w:rsid w:val="00C10CF9"/>
    <w:rsid w:val="00C10E51"/>
    <w:rsid w:val="00C11EE0"/>
    <w:rsid w:val="00C13CA0"/>
    <w:rsid w:val="00C2487B"/>
    <w:rsid w:val="00C25CDC"/>
    <w:rsid w:val="00C2612C"/>
    <w:rsid w:val="00C27255"/>
    <w:rsid w:val="00C27B15"/>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5463"/>
    <w:rsid w:val="00C6695F"/>
    <w:rsid w:val="00C671C8"/>
    <w:rsid w:val="00C67577"/>
    <w:rsid w:val="00C70622"/>
    <w:rsid w:val="00C719E6"/>
    <w:rsid w:val="00C71CAC"/>
    <w:rsid w:val="00C72015"/>
    <w:rsid w:val="00C73B22"/>
    <w:rsid w:val="00C755C3"/>
    <w:rsid w:val="00C75B5A"/>
    <w:rsid w:val="00C8022D"/>
    <w:rsid w:val="00C82610"/>
    <w:rsid w:val="00C8446D"/>
    <w:rsid w:val="00C844C8"/>
    <w:rsid w:val="00C869E2"/>
    <w:rsid w:val="00C8723B"/>
    <w:rsid w:val="00C90FE4"/>
    <w:rsid w:val="00C91830"/>
    <w:rsid w:val="00C91A05"/>
    <w:rsid w:val="00C91B18"/>
    <w:rsid w:val="00C91BAD"/>
    <w:rsid w:val="00C95D0F"/>
    <w:rsid w:val="00CA01C6"/>
    <w:rsid w:val="00CA064C"/>
    <w:rsid w:val="00CA1817"/>
    <w:rsid w:val="00CA2648"/>
    <w:rsid w:val="00CA6012"/>
    <w:rsid w:val="00CA73B9"/>
    <w:rsid w:val="00CB06DF"/>
    <w:rsid w:val="00CB2979"/>
    <w:rsid w:val="00CB2C89"/>
    <w:rsid w:val="00CB3551"/>
    <w:rsid w:val="00CB4265"/>
    <w:rsid w:val="00CC1340"/>
    <w:rsid w:val="00CC5483"/>
    <w:rsid w:val="00CC7A35"/>
    <w:rsid w:val="00CD0982"/>
    <w:rsid w:val="00CD17D3"/>
    <w:rsid w:val="00CD1CD7"/>
    <w:rsid w:val="00CD20CB"/>
    <w:rsid w:val="00CD2975"/>
    <w:rsid w:val="00CD3643"/>
    <w:rsid w:val="00CD3762"/>
    <w:rsid w:val="00CD6227"/>
    <w:rsid w:val="00CD6512"/>
    <w:rsid w:val="00CD7717"/>
    <w:rsid w:val="00CE0960"/>
    <w:rsid w:val="00CE0CF7"/>
    <w:rsid w:val="00CE24C8"/>
    <w:rsid w:val="00CE4C72"/>
    <w:rsid w:val="00CE5026"/>
    <w:rsid w:val="00CE6EAF"/>
    <w:rsid w:val="00CF03C7"/>
    <w:rsid w:val="00CF0911"/>
    <w:rsid w:val="00CF0D45"/>
    <w:rsid w:val="00CF47ED"/>
    <w:rsid w:val="00CF6CBD"/>
    <w:rsid w:val="00CF7411"/>
    <w:rsid w:val="00D00FB8"/>
    <w:rsid w:val="00D01057"/>
    <w:rsid w:val="00D01338"/>
    <w:rsid w:val="00D02409"/>
    <w:rsid w:val="00D03CDE"/>
    <w:rsid w:val="00D03EB7"/>
    <w:rsid w:val="00D05346"/>
    <w:rsid w:val="00D06105"/>
    <w:rsid w:val="00D067C0"/>
    <w:rsid w:val="00D06B48"/>
    <w:rsid w:val="00D07495"/>
    <w:rsid w:val="00D12013"/>
    <w:rsid w:val="00D15758"/>
    <w:rsid w:val="00D16710"/>
    <w:rsid w:val="00D16E5F"/>
    <w:rsid w:val="00D17D13"/>
    <w:rsid w:val="00D17D8E"/>
    <w:rsid w:val="00D244CB"/>
    <w:rsid w:val="00D24726"/>
    <w:rsid w:val="00D24B9A"/>
    <w:rsid w:val="00D27985"/>
    <w:rsid w:val="00D27F98"/>
    <w:rsid w:val="00D31F35"/>
    <w:rsid w:val="00D3295B"/>
    <w:rsid w:val="00D32F6F"/>
    <w:rsid w:val="00D336B9"/>
    <w:rsid w:val="00D336CF"/>
    <w:rsid w:val="00D33A59"/>
    <w:rsid w:val="00D35197"/>
    <w:rsid w:val="00D35B28"/>
    <w:rsid w:val="00D36009"/>
    <w:rsid w:val="00D37437"/>
    <w:rsid w:val="00D37D0B"/>
    <w:rsid w:val="00D403D5"/>
    <w:rsid w:val="00D40690"/>
    <w:rsid w:val="00D4270D"/>
    <w:rsid w:val="00D434B8"/>
    <w:rsid w:val="00D43792"/>
    <w:rsid w:val="00D44057"/>
    <w:rsid w:val="00D441C9"/>
    <w:rsid w:val="00D4482B"/>
    <w:rsid w:val="00D4769B"/>
    <w:rsid w:val="00D47FF5"/>
    <w:rsid w:val="00D50DEA"/>
    <w:rsid w:val="00D51BE9"/>
    <w:rsid w:val="00D51E45"/>
    <w:rsid w:val="00D52F88"/>
    <w:rsid w:val="00D53967"/>
    <w:rsid w:val="00D540A7"/>
    <w:rsid w:val="00D55C4F"/>
    <w:rsid w:val="00D57A61"/>
    <w:rsid w:val="00D6119F"/>
    <w:rsid w:val="00D62DC7"/>
    <w:rsid w:val="00D641D7"/>
    <w:rsid w:val="00D66032"/>
    <w:rsid w:val="00D673EF"/>
    <w:rsid w:val="00D70413"/>
    <w:rsid w:val="00D71EFE"/>
    <w:rsid w:val="00D748C2"/>
    <w:rsid w:val="00D75268"/>
    <w:rsid w:val="00D7530D"/>
    <w:rsid w:val="00D763C1"/>
    <w:rsid w:val="00D76C50"/>
    <w:rsid w:val="00D777D9"/>
    <w:rsid w:val="00D77A53"/>
    <w:rsid w:val="00D77FBC"/>
    <w:rsid w:val="00D8198F"/>
    <w:rsid w:val="00D82881"/>
    <w:rsid w:val="00D8380E"/>
    <w:rsid w:val="00D86082"/>
    <w:rsid w:val="00D87076"/>
    <w:rsid w:val="00D92D28"/>
    <w:rsid w:val="00D9522E"/>
    <w:rsid w:val="00D96E4C"/>
    <w:rsid w:val="00D9706D"/>
    <w:rsid w:val="00DA1034"/>
    <w:rsid w:val="00DA11B9"/>
    <w:rsid w:val="00DA1774"/>
    <w:rsid w:val="00DA3947"/>
    <w:rsid w:val="00DA4E5D"/>
    <w:rsid w:val="00DA5D36"/>
    <w:rsid w:val="00DA60B5"/>
    <w:rsid w:val="00DA7599"/>
    <w:rsid w:val="00DA75AC"/>
    <w:rsid w:val="00DB0DCD"/>
    <w:rsid w:val="00DB249A"/>
    <w:rsid w:val="00DB26CF"/>
    <w:rsid w:val="00DB3EB8"/>
    <w:rsid w:val="00DB41B9"/>
    <w:rsid w:val="00DB5BF1"/>
    <w:rsid w:val="00DB726C"/>
    <w:rsid w:val="00DC0D22"/>
    <w:rsid w:val="00DC38A5"/>
    <w:rsid w:val="00DC43B4"/>
    <w:rsid w:val="00DC53FB"/>
    <w:rsid w:val="00DC6B61"/>
    <w:rsid w:val="00DC75B6"/>
    <w:rsid w:val="00DC7D97"/>
    <w:rsid w:val="00DC7ED7"/>
    <w:rsid w:val="00DD30C5"/>
    <w:rsid w:val="00DD3C82"/>
    <w:rsid w:val="00DD3D7E"/>
    <w:rsid w:val="00DD49EC"/>
    <w:rsid w:val="00DD62D6"/>
    <w:rsid w:val="00DD788B"/>
    <w:rsid w:val="00DE0133"/>
    <w:rsid w:val="00DE1023"/>
    <w:rsid w:val="00DE3B98"/>
    <w:rsid w:val="00DE4393"/>
    <w:rsid w:val="00DE4687"/>
    <w:rsid w:val="00DE4D27"/>
    <w:rsid w:val="00DE53AE"/>
    <w:rsid w:val="00DE572B"/>
    <w:rsid w:val="00DF0971"/>
    <w:rsid w:val="00DF09ED"/>
    <w:rsid w:val="00DF1F47"/>
    <w:rsid w:val="00DF569C"/>
    <w:rsid w:val="00DF61F0"/>
    <w:rsid w:val="00DF73DB"/>
    <w:rsid w:val="00DF7667"/>
    <w:rsid w:val="00E0759D"/>
    <w:rsid w:val="00E14F08"/>
    <w:rsid w:val="00E15CD2"/>
    <w:rsid w:val="00E15ECB"/>
    <w:rsid w:val="00E1780F"/>
    <w:rsid w:val="00E20992"/>
    <w:rsid w:val="00E228D7"/>
    <w:rsid w:val="00E22B1B"/>
    <w:rsid w:val="00E23C56"/>
    <w:rsid w:val="00E250A6"/>
    <w:rsid w:val="00E2621F"/>
    <w:rsid w:val="00E3160D"/>
    <w:rsid w:val="00E40A6E"/>
    <w:rsid w:val="00E40CED"/>
    <w:rsid w:val="00E41881"/>
    <w:rsid w:val="00E44740"/>
    <w:rsid w:val="00E44E26"/>
    <w:rsid w:val="00E45F2C"/>
    <w:rsid w:val="00E46C61"/>
    <w:rsid w:val="00E46CA4"/>
    <w:rsid w:val="00E4705C"/>
    <w:rsid w:val="00E4710E"/>
    <w:rsid w:val="00E51116"/>
    <w:rsid w:val="00E524CD"/>
    <w:rsid w:val="00E52CB1"/>
    <w:rsid w:val="00E550A7"/>
    <w:rsid w:val="00E55771"/>
    <w:rsid w:val="00E5640B"/>
    <w:rsid w:val="00E56EAB"/>
    <w:rsid w:val="00E6064D"/>
    <w:rsid w:val="00E61271"/>
    <w:rsid w:val="00E6264E"/>
    <w:rsid w:val="00E627C5"/>
    <w:rsid w:val="00E63E9E"/>
    <w:rsid w:val="00E648AA"/>
    <w:rsid w:val="00E65387"/>
    <w:rsid w:val="00E678A4"/>
    <w:rsid w:val="00E70B14"/>
    <w:rsid w:val="00E71161"/>
    <w:rsid w:val="00E71253"/>
    <w:rsid w:val="00E71485"/>
    <w:rsid w:val="00E726BB"/>
    <w:rsid w:val="00E73532"/>
    <w:rsid w:val="00E76457"/>
    <w:rsid w:val="00E814B2"/>
    <w:rsid w:val="00E818E2"/>
    <w:rsid w:val="00E82932"/>
    <w:rsid w:val="00E85856"/>
    <w:rsid w:val="00E91757"/>
    <w:rsid w:val="00E91B1E"/>
    <w:rsid w:val="00E9293C"/>
    <w:rsid w:val="00E940E2"/>
    <w:rsid w:val="00E94BBE"/>
    <w:rsid w:val="00EA0816"/>
    <w:rsid w:val="00EA1182"/>
    <w:rsid w:val="00EA33C1"/>
    <w:rsid w:val="00EA39E1"/>
    <w:rsid w:val="00EA3A46"/>
    <w:rsid w:val="00EA7499"/>
    <w:rsid w:val="00EB0621"/>
    <w:rsid w:val="00EB6940"/>
    <w:rsid w:val="00EB6BE6"/>
    <w:rsid w:val="00EC0587"/>
    <w:rsid w:val="00EC0798"/>
    <w:rsid w:val="00EC1198"/>
    <w:rsid w:val="00EC1318"/>
    <w:rsid w:val="00EC1520"/>
    <w:rsid w:val="00EC7D89"/>
    <w:rsid w:val="00EC7EEC"/>
    <w:rsid w:val="00ED181F"/>
    <w:rsid w:val="00ED1831"/>
    <w:rsid w:val="00ED23A0"/>
    <w:rsid w:val="00ED37EB"/>
    <w:rsid w:val="00ED391D"/>
    <w:rsid w:val="00ED50CF"/>
    <w:rsid w:val="00ED5374"/>
    <w:rsid w:val="00ED5994"/>
    <w:rsid w:val="00EE0A9A"/>
    <w:rsid w:val="00EE395C"/>
    <w:rsid w:val="00EE412A"/>
    <w:rsid w:val="00EE6A77"/>
    <w:rsid w:val="00EE75FE"/>
    <w:rsid w:val="00EE7E62"/>
    <w:rsid w:val="00EF68C5"/>
    <w:rsid w:val="00F02293"/>
    <w:rsid w:val="00F0450F"/>
    <w:rsid w:val="00F07361"/>
    <w:rsid w:val="00F07DC1"/>
    <w:rsid w:val="00F12615"/>
    <w:rsid w:val="00F14713"/>
    <w:rsid w:val="00F16AEA"/>
    <w:rsid w:val="00F17B92"/>
    <w:rsid w:val="00F21E78"/>
    <w:rsid w:val="00F22AFA"/>
    <w:rsid w:val="00F241CD"/>
    <w:rsid w:val="00F27AC8"/>
    <w:rsid w:val="00F32AE4"/>
    <w:rsid w:val="00F3346F"/>
    <w:rsid w:val="00F34E4E"/>
    <w:rsid w:val="00F35E52"/>
    <w:rsid w:val="00F36C30"/>
    <w:rsid w:val="00F45733"/>
    <w:rsid w:val="00F45E9D"/>
    <w:rsid w:val="00F47DD1"/>
    <w:rsid w:val="00F5100A"/>
    <w:rsid w:val="00F51AE7"/>
    <w:rsid w:val="00F52BC4"/>
    <w:rsid w:val="00F54992"/>
    <w:rsid w:val="00F5549C"/>
    <w:rsid w:val="00F573A0"/>
    <w:rsid w:val="00F57B98"/>
    <w:rsid w:val="00F57CF9"/>
    <w:rsid w:val="00F57DAD"/>
    <w:rsid w:val="00F61CA5"/>
    <w:rsid w:val="00F6355B"/>
    <w:rsid w:val="00F64AB8"/>
    <w:rsid w:val="00F64C56"/>
    <w:rsid w:val="00F66720"/>
    <w:rsid w:val="00F67F3D"/>
    <w:rsid w:val="00F70D10"/>
    <w:rsid w:val="00F72A70"/>
    <w:rsid w:val="00F73BBC"/>
    <w:rsid w:val="00F75296"/>
    <w:rsid w:val="00F761A9"/>
    <w:rsid w:val="00F77170"/>
    <w:rsid w:val="00F77BCB"/>
    <w:rsid w:val="00F84274"/>
    <w:rsid w:val="00F847EB"/>
    <w:rsid w:val="00F86793"/>
    <w:rsid w:val="00F8771F"/>
    <w:rsid w:val="00F901F7"/>
    <w:rsid w:val="00F91ADA"/>
    <w:rsid w:val="00F91D22"/>
    <w:rsid w:val="00F975D5"/>
    <w:rsid w:val="00FA61B0"/>
    <w:rsid w:val="00FA6D88"/>
    <w:rsid w:val="00FA7639"/>
    <w:rsid w:val="00FB478D"/>
    <w:rsid w:val="00FB4EF5"/>
    <w:rsid w:val="00FB7004"/>
    <w:rsid w:val="00FB7C50"/>
    <w:rsid w:val="00FB7E88"/>
    <w:rsid w:val="00FC3F44"/>
    <w:rsid w:val="00FC48D2"/>
    <w:rsid w:val="00FC6696"/>
    <w:rsid w:val="00FD08C6"/>
    <w:rsid w:val="00FD08E9"/>
    <w:rsid w:val="00FD2A15"/>
    <w:rsid w:val="00FD4016"/>
    <w:rsid w:val="00FD4096"/>
    <w:rsid w:val="00FD45EE"/>
    <w:rsid w:val="00FD5D67"/>
    <w:rsid w:val="00FD6530"/>
    <w:rsid w:val="00FD6736"/>
    <w:rsid w:val="00FD67B7"/>
    <w:rsid w:val="00FD7D8C"/>
    <w:rsid w:val="00FE01A1"/>
    <w:rsid w:val="00FE379A"/>
    <w:rsid w:val="00FE56B4"/>
    <w:rsid w:val="00FE601F"/>
    <w:rsid w:val="00FE606D"/>
    <w:rsid w:val="00FF07B6"/>
    <w:rsid w:val="00FF1F46"/>
    <w:rsid w:val="00FF384E"/>
    <w:rsid w:val="00FF517C"/>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FBF835"/>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before="120" w:after="120" w:line="276" w:lineRule="auto"/>
        <w:ind w:left="1298" w:hanging="57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qFormat/>
    <w:rsid w:val="009062E4"/>
    <w:pPr>
      <w:ind w:left="0" w:firstLine="0"/>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BF5C21"/>
    <w:pPr>
      <w:numPr>
        <w:numId w:val="1"/>
      </w:numPr>
      <w:outlineLvl w:val="0"/>
    </w:pPr>
    <w:rPr>
      <w:rFonts w:asciiTheme="majorHAnsi" w:hAnsiTheme="majorHAnsi" w:cstheme="majorHAnsi"/>
      <w:b/>
      <w:sz w:val="28"/>
      <w:szCs w:val="32"/>
      <w:u w:color="347186"/>
    </w:rPr>
  </w:style>
  <w:style w:type="paragraph" w:styleId="Heading2">
    <w:name w:val="heading 2"/>
    <w:basedOn w:val="Normal"/>
    <w:next w:val="Normal"/>
    <w:link w:val="Heading2Char"/>
    <w:uiPriority w:val="9"/>
    <w:unhideWhenUsed/>
    <w:qFormat/>
    <w:rsid w:val="00AD233F"/>
    <w:pPr>
      <w:numPr>
        <w:ilvl w:val="1"/>
        <w:numId w:val="1"/>
      </w:numPr>
      <w:ind w:left="737"/>
      <w:outlineLvl w:val="1"/>
    </w:pPr>
    <w:rPr>
      <w:rFonts w:asciiTheme="majorHAnsi" w:hAnsiTheme="majorHAnsi" w:cs="Arial"/>
      <w:szCs w:val="32"/>
    </w:rPr>
  </w:style>
  <w:style w:type="paragraph" w:styleId="Heading3">
    <w:name w:val="heading 3"/>
    <w:basedOn w:val="Normal"/>
    <w:next w:val="Normal"/>
    <w:link w:val="Heading3Char"/>
    <w:uiPriority w:val="9"/>
    <w:unhideWhenUsed/>
    <w:qFormat/>
    <w:rsid w:val="008C2CD3"/>
    <w:pPr>
      <w:keepNext/>
      <w:keepLines/>
      <w:numPr>
        <w:ilvl w:val="2"/>
        <w:numId w:val="1"/>
      </w:numPr>
      <w:spacing w:before="200"/>
      <w:outlineLvl w:val="2"/>
    </w:pPr>
    <w:rPr>
      <w:rFonts w:asciiTheme="majorHAnsi" w:eastAsiaTheme="majorEastAsia" w:hAnsiTheme="majorHAnsi" w:cstheme="majorBidi"/>
      <w:b/>
      <w:bCs/>
      <w:color w:val="40404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40404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1F1F2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1F1F2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C8446D"/>
    <w:pPr>
      <w:ind w:left="720"/>
      <w:contextualSpacing/>
    </w:pPr>
    <w:rPr>
      <w:rFonts w:asciiTheme="minorHAnsi" w:hAnsiTheme="minorHAnsi" w:cstheme="minorBidi"/>
    </w:rPr>
  </w:style>
  <w:style w:type="table" w:styleId="TableGrid">
    <w:name w:val="Table Grid"/>
    <w:basedOn w:val="TableNormal"/>
    <w:uiPriority w:val="3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BF5C21"/>
    <w:rPr>
      <w:rFonts w:asciiTheme="majorHAnsi" w:hAnsiTheme="majorHAnsi" w:cstheme="majorHAnsi"/>
      <w:b/>
      <w:sz w:val="28"/>
      <w:szCs w:val="32"/>
      <w:u w:color="347186"/>
    </w:rPr>
  </w:style>
  <w:style w:type="character" w:customStyle="1" w:styleId="Heading2Char">
    <w:name w:val="Heading 2 Char"/>
    <w:basedOn w:val="DefaultParagraphFont"/>
    <w:link w:val="Heading2"/>
    <w:uiPriority w:val="9"/>
    <w:rsid w:val="00AD233F"/>
    <w:rPr>
      <w:rFonts w:asciiTheme="majorHAnsi" w:hAnsiTheme="majorHAnsi" w:cs="Arial"/>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rsid w:val="008C2CD3"/>
    <w:rPr>
      <w:rFonts w:asciiTheme="majorHAnsi" w:eastAsiaTheme="majorEastAsia" w:hAnsiTheme="majorHAnsi" w:cstheme="majorBidi"/>
      <w:b/>
      <w:bCs/>
      <w:color w:val="40404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0404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1F2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1F2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4"/>
      </w:numPr>
      <w:spacing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0000FF" w:themeColor="followedHyperlink"/>
      <w:u w:val="single"/>
    </w:rPr>
  </w:style>
  <w:style w:type="paragraph" w:customStyle="1" w:styleId="TSB-PolicyBullets">
    <w:name w:val="TSB - Policy Bullets"/>
    <w:basedOn w:val="ListParagraph"/>
    <w:link w:val="TSB-PolicyBulletsChar"/>
    <w:autoRedefine/>
    <w:qFormat/>
    <w:rsid w:val="00BE5A51"/>
    <w:pPr>
      <w:tabs>
        <w:tab w:val="left" w:pos="3686"/>
      </w:tabs>
      <w:contextualSpacing w:val="0"/>
    </w:pPr>
    <w:rPr>
      <w:b/>
    </w:rPr>
  </w:style>
  <w:style w:type="paragraph" w:customStyle="1" w:styleId="TSB-Level2Numbers">
    <w:name w:val="TSB - Level 2 Numbers"/>
    <w:basedOn w:val="TSB-Level1Numbers"/>
    <w:link w:val="TSB-Level2NumbersChar"/>
    <w:autoRedefine/>
    <w:qFormat/>
    <w:rsid w:val="008D4F9D"/>
    <w:pPr>
      <w:numPr>
        <w:ilvl w:val="2"/>
        <w:numId w:val="3"/>
      </w:numPr>
      <w:ind w:left="2223" w:hanging="998"/>
    </w:pPr>
  </w:style>
  <w:style w:type="character" w:customStyle="1" w:styleId="ListParagraphChar">
    <w:name w:val="List Paragraph Char"/>
    <w:basedOn w:val="DefaultParagraphFont"/>
    <w:link w:val="ListParagraph"/>
    <w:uiPriority w:val="1"/>
    <w:rsid w:val="002C4AE2"/>
  </w:style>
  <w:style w:type="character" w:customStyle="1" w:styleId="TSB-PolicyBulletsChar">
    <w:name w:val="TSB - Policy Bullets Char"/>
    <w:basedOn w:val="ListParagraphChar"/>
    <w:link w:val="TSB-PolicyBullets"/>
    <w:rsid w:val="00BE5A51"/>
    <w:rPr>
      <w:b/>
    </w:rPr>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u w:color="347186"/>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u w:color="347186"/>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40404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ind w:left="1922" w:hanging="357"/>
    </w:pPr>
  </w:style>
  <w:style w:type="character" w:customStyle="1" w:styleId="UnresolvedMention1">
    <w:name w:val="Unresolved Mention1"/>
    <w:basedOn w:val="DefaultParagraphFont"/>
    <w:uiPriority w:val="99"/>
    <w:semiHidden/>
    <w:unhideWhenUsed/>
    <w:rsid w:val="00492221"/>
    <w:rPr>
      <w:color w:val="605E5C"/>
      <w:shd w:val="clear" w:color="auto" w:fill="E1DFDD"/>
    </w:rPr>
  </w:style>
  <w:style w:type="character" w:customStyle="1" w:styleId="PolicyBulletsChar">
    <w:name w:val="Policy Bullets Char"/>
    <w:basedOn w:val="DefaultParagraphFont"/>
    <w:link w:val="PolicyBullets"/>
    <w:rsid w:val="006477B9"/>
  </w:style>
  <w:style w:type="paragraph" w:customStyle="1" w:styleId="Default">
    <w:name w:val="Default"/>
    <w:rsid w:val="002D7DF1"/>
    <w:pPr>
      <w:autoSpaceDE w:val="0"/>
      <w:autoSpaceDN w:val="0"/>
      <w:adjustRightInd w:val="0"/>
      <w:spacing w:after="0" w:line="240" w:lineRule="auto"/>
    </w:pPr>
    <w:rPr>
      <w:rFonts w:ascii="Arial" w:hAnsi="Arial" w:cs="Arial"/>
      <w:color w:val="000000"/>
      <w:sz w:val="24"/>
      <w:szCs w:val="24"/>
    </w:rPr>
  </w:style>
  <w:style w:type="numbering" w:customStyle="1" w:styleId="WWOutlineListStyle7">
    <w:name w:val="WW_OutlineListStyle_7"/>
    <w:basedOn w:val="NoList"/>
    <w:rsid w:val="00C27B15"/>
    <w:pPr>
      <w:numPr>
        <w:numId w:val="6"/>
      </w:numPr>
    </w:pPr>
  </w:style>
  <w:style w:type="numbering" w:customStyle="1" w:styleId="LFO4">
    <w:name w:val="LFO4"/>
    <w:basedOn w:val="NoList"/>
    <w:rsid w:val="00C27B15"/>
    <w:pPr>
      <w:numPr>
        <w:numId w:val="7"/>
      </w:numPr>
    </w:pPr>
  </w:style>
  <w:style w:type="paragraph" w:customStyle="1" w:styleId="CopyrightSpacing">
    <w:name w:val="CopyrightSpacing"/>
    <w:basedOn w:val="Normal"/>
    <w:rsid w:val="00C27B15"/>
    <w:pPr>
      <w:suppressAutoHyphens/>
      <w:autoSpaceDN w:val="0"/>
      <w:spacing w:before="6000" w:line="288" w:lineRule="auto"/>
      <w:jc w:val="left"/>
      <w:textAlignment w:val="baseline"/>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a:dk1>
        <a:srgbClr val="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253B6E4A1CB1846936E2989CF9ED978" ma:contentTypeVersion="10" ma:contentTypeDescription="Create a new document." ma:contentTypeScope="" ma:versionID="b6a0b1c78de47b867333e6b11f3b40c1">
  <xsd:schema xmlns:xsd="http://www.w3.org/2001/XMLSchema" xmlns:xs="http://www.w3.org/2001/XMLSchema" xmlns:p="http://schemas.microsoft.com/office/2006/metadata/properties" xmlns:ns2="4b989610-d74b-44c1-b52e-1d9dc3efc540" targetNamespace="http://schemas.microsoft.com/office/2006/metadata/properties" ma:root="true" ma:fieldsID="24de4bbdfae996d88cd89359b03ec137" ns2:_="">
    <xsd:import namespace="4b989610-d74b-44c1-b52e-1d9dc3efc5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89610-d74b-44c1-b52e-1d9dc3efc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5211DB-FE57-4F2D-9ABC-26B8B342F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66F4C6-22ED-4E55-9B23-0D9C2D94F7A2}">
  <ds:schemaRefs>
    <ds:schemaRef ds:uri="http://schemas.openxmlformats.org/officeDocument/2006/bibliography"/>
  </ds:schemaRefs>
</ds:datastoreItem>
</file>

<file path=customXml/itemProps3.xml><?xml version="1.0" encoding="utf-8"?>
<ds:datastoreItem xmlns:ds="http://schemas.openxmlformats.org/officeDocument/2006/customXml" ds:itemID="{098EA5D9-D69C-4663-9871-2A6E61803F7D}"/>
</file>

<file path=customXml/itemProps4.xml><?xml version="1.0" encoding="utf-8"?>
<ds:datastoreItem xmlns:ds="http://schemas.openxmlformats.org/officeDocument/2006/customXml" ds:itemID="{5955ED8D-45AB-4281-A113-0E7539660B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Samantha Birchall</cp:lastModifiedBy>
  <cp:revision>2</cp:revision>
  <cp:lastPrinted>2022-07-28T12:07:00Z</cp:lastPrinted>
  <dcterms:created xsi:type="dcterms:W3CDTF">2023-08-17T07:29:00Z</dcterms:created>
  <dcterms:modified xsi:type="dcterms:W3CDTF">2023-08-17T07:29:00Z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0x010100C253B6E4A1CB1846936E2989CF9ED978</vt:lpwstr>
  </property>
</Properties>
</file>